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INFORME EVALUACIÓN VENTILACIÓN</w:t>
      </w:r>
    </w:p>
    <w:p>
      <w:pPr>
        <w:jc w:val="center"/>
      </w:pPr>
      <w:r>
        <w:rPr>
          <w:b/>
        </w:rPr>
        <w:t>CÓDIGO: [COMPLETAR]</w:t>
      </w:r>
    </w:p>
    <w:p>
      <w:pPr>
        <w:pStyle w:val="Heading2"/>
      </w:pPr>
      <w:r>
        <w:t>1. Antecedentes</w:t>
      </w:r>
    </w:p>
    <w:p>
      <w:r>
        <w:t>Por solicitud del área de prevención de la empresa, se realiza la evaluación de ventilación de acuerdo con lo establecido en el Artículo N°34 del Decreto Supremo N°594/1999, realizando la evaluación de las condiciones de ventilación en las áreas o sectores del centro de trabajo, de modo que la organización pueda implementar medidas oportunas que resguarden la salud de las personas trabajadoras conforme al citado decreto.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1.1 Información empresa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Razón Social</w:t>
            </w:r>
          </w:p>
        </w:tc>
        <w:tc>
          <w:tcPr>
            <w:tcW w:type="dxa" w:w="4844"/>
            <w:tcW w:w="5669" w:type="dxa"/>
          </w:tcPr>
          <w:p>
            <w:r>
              <w:t>Rendic Hermanos S.A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RUT</w:t>
            </w:r>
          </w:p>
        </w:tc>
        <w:tc>
          <w:tcPr>
            <w:tcW w:type="dxa" w:w="4844"/>
            <w:tcW w:w="5669" w:type="dxa"/>
          </w:tcPr>
          <w:p>
            <w:r>
              <w:t>81.537.600-5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CIIU</w:t>
            </w:r>
          </w:p>
        </w:tc>
        <w:tc>
          <w:tcPr>
            <w:tcW w:type="dxa" w:w="4844"/>
            <w:tcW w:w="5669" w:type="dxa"/>
          </w:tcPr>
          <w:p>
            <w:r>
              <w:t>471100 -  Venta al por menor en comercios de alimentos, bebidas o tabaco (supermercado)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1.2 Información centro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CUV/CECO/Código IST</w:t>
            </w:r>
          </w:p>
        </w:tc>
        <w:tc>
          <w:tcPr>
            <w:tcW w:type="dxa" w:w="4844"/>
            <w:tcW w:w="5669" w:type="dxa"/>
          </w:tcPr>
          <w:p>
            <w:r>
              <w:t>928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Nombre de Local</w:t>
            </w:r>
          </w:p>
        </w:tc>
        <w:tc>
          <w:tcPr>
            <w:tcW w:type="dxa" w:w="4844"/>
            <w:tcW w:w="5669" w:type="dxa"/>
          </w:tcPr>
          <w:p>
            <w:r>
              <w:t>Uni Manquehue Padre Las Casas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Dirección</w:t>
            </w:r>
          </w:p>
        </w:tc>
        <w:tc>
          <w:tcPr>
            <w:tcW w:type="dxa" w:w="4844"/>
            <w:tcW w:w="5669" w:type="dxa"/>
          </w:tcPr>
          <w:p>
            <w:r>
              <w:t>Maquehue N° 1244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Comuna</w:t>
            </w:r>
          </w:p>
        </w:tc>
        <w:tc>
          <w:tcPr>
            <w:tcW w:type="dxa" w:w="4844"/>
            <w:tcW w:w="5669" w:type="dxa"/>
          </w:tcPr>
          <w:p>
            <w:r>
              <w:t>Padre Las Casas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Región</w:t>
            </w:r>
          </w:p>
        </w:tc>
        <w:tc>
          <w:tcPr>
            <w:tcW w:type="dxa" w:w="4844"/>
            <w:tcW w:w="5669" w:type="dxa"/>
          </w:tcPr>
          <w:p>
            <w:r>
              <w:t>Región de La Araucanía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688"/>
            <w:gridSpan w:val="2"/>
            <w:shd w:fill="4f0b7b"/>
            <w:tcW w:w="3968" w:type="dxa"/>
            <w:tcW w:w="5669" w:type="dxa"/>
          </w:tcPr>
          <w:p>
            <w:r>
              <w:rPr>
                <w:b/>
                <w:color w:val="FFFFFF"/>
                <w:sz w:val="20"/>
              </w:rPr>
              <w:t>1.3 Información de la visita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Motivo de la actividad</w:t>
            </w:r>
          </w:p>
        </w:tc>
        <w:tc>
          <w:tcPr>
            <w:tcW w:type="dxa" w:w="4844"/>
            <w:tcW w:w="5669" w:type="dxa"/>
          </w:tcPr>
          <w:p>
            <w:r>
              <w:t>Programa de Trabajo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actividad de terreno</w:t>
            </w:r>
          </w:p>
        </w:tc>
        <w:tc>
          <w:tcPr>
            <w:tcW w:type="dxa" w:w="4844"/>
            <w:tcW w:w="5669" w:type="dxa"/>
          </w:tcPr>
          <w:p>
            <w:r>
              <w:t>03-10-2025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Hora actividad de terreno</w:t>
            </w:r>
          </w:p>
        </w:tc>
        <w:tc>
          <w:tcPr>
            <w:tcW w:type="dxa" w:w="4844"/>
            <w:tcW w:w="5669" w:type="dxa"/>
          </w:tcPr>
          <w:p>
            <w:r>
              <w:t>11:30:00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Profesional consultor/a de IST</w:t>
            </w:r>
          </w:p>
        </w:tc>
        <w:tc>
          <w:tcPr>
            <w:tcW w:type="dxa" w:w="4844"/>
            <w:tcW w:w="5669" w:type="dxa"/>
          </w:tcPr>
          <w:p>
            <w:r>
              <w:t>Mariana Marin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Acompañante empresa</w:t>
            </w:r>
          </w:p>
        </w:tc>
        <w:tc>
          <w:tcPr>
            <w:tcW w:type="dxa" w:w="4844"/>
            <w:tcW w:w="5669" w:type="dxa"/>
          </w:tcPr>
          <w:p>
            <w:r>
              <w:t>Francisco Morales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Cargo de la persona que acompaña la visita</w:t>
            </w:r>
          </w:p>
        </w:tc>
        <w:tc>
          <w:tcPr>
            <w:tcW w:type="dxa" w:w="4844"/>
            <w:tcW w:w="5669" w:type="dxa"/>
          </w:tcPr>
          <w:p>
            <w:r>
              <w:t>Administrador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Tipo de evaluación</w:t>
            </w:r>
          </w:p>
        </w:tc>
        <w:tc>
          <w:tcPr>
            <w:tcW w:type="dxa" w:w="4844"/>
            <w:tcW w:w="5669" w:type="dxa"/>
          </w:tcPr>
          <w:p>
            <w:r>
              <w:t>Ventilacion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Fecha emisión informe</w:t>
            </w:r>
          </w:p>
        </w:tc>
        <w:tc>
          <w:tcPr>
            <w:tcW w:type="dxa" w:w="4844"/>
            <w:tcW w:w="5669" w:type="dxa"/>
          </w:tcPr>
          <w:p>
            <w:r>
              <w:t>[COMPLETAR]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Revisor del informe</w:t>
            </w:r>
          </w:p>
        </w:tc>
        <w:tc>
          <w:tcPr>
            <w:tcW w:type="dxa" w:w="4844"/>
            <w:tcW w:w="5669" w:type="dxa"/>
          </w:tcPr>
          <w:p>
            <w:r>
              <w:t>Rodrigo Novoa</w:t>
            </w:r>
          </w:p>
        </w:tc>
      </w:tr>
      <w:tr>
        <w:tc>
          <w:tcPr>
            <w:tcW w:type="dxa" w:w="4844"/>
            <w:tcW w:w="3968" w:type="dxa"/>
          </w:tcPr>
          <w:p>
            <w:r>
              <w:t>Destinatario informe</w:t>
            </w:r>
          </w:p>
        </w:tc>
        <w:tc>
          <w:tcPr>
            <w:tcW w:type="dxa" w:w="4844"/>
            <w:tcW w:w="5669" w:type="dxa"/>
          </w:tcPr>
          <w:p>
            <w:r>
              <w:t>Cristian Fernandez</w:t>
            </w:r>
          </w:p>
        </w:tc>
      </w:tr>
    </w:tbl>
    <w:p/>
    <w:p>
      <w:pPr>
        <w:pStyle w:val="Heading2"/>
      </w:pPr>
      <w:r>
        <w:t>2. Metodología</w:t>
      </w:r>
    </w:p>
    <w:p>
      <w:r>
        <w:t>La evaluación consideró el levantamiento de antecedentes físicos y funcionales de cada recinto, incluyendo sus dimensiones, uso, número máximo de personas (NMP) y condiciones de ventilación disponibles. A partir de las mediciones de largo, ancho y alto se determinó el volumen total del recinto (m³), lo que permitió estimar el volumen disponible por persona y verificar si cumple con los valores mínimos exigidos por el D.S. N°594.</w:t>
      </w:r>
    </w:p>
    <w:p/>
    <w:p>
      <w:pPr>
        <w:pStyle w:val="Heading2"/>
      </w:pPr>
      <w:r>
        <w:t>3. Resultados</w:t>
      </w:r>
    </w:p>
    <w:p>
      <w:pPr>
        <w:pStyle w:val="Heading3"/>
      </w:pPr>
      <w:r>
        <w:t>3.1 Resumen por áreas evaluadas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rPr>
          <w:trHeight w:val="1134" w:hRule="exact"/>
        </w:trPr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1211"/>
            <w:tcW w:w="170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Número máximo de personas</w:t>
              <w:br/>
              <w:t>(NMP) en el área y/o sector</w:t>
            </w:r>
          </w:p>
        </w:tc>
        <w:tc>
          <w:tcPr>
            <w:tcW w:type="dxa" w:w="3633"/>
            <w:tcW w:w="453" w:type="dxa"/>
            <w:gridSpan w:val="3"/>
            <w:vAlign w:val="center"/>
            <w:shd w:fill="4F0B7B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Dimensiones del recinto evaluado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del sector (m³)</w:t>
            </w:r>
          </w:p>
        </w:tc>
        <w:tc>
          <w:tcPr>
            <w:tcW w:type="dxa" w:w="1211"/>
            <w:tcW w:w="850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Metros cúbicos por persona</w:t>
            </w:r>
          </w:p>
        </w:tc>
        <w:tc>
          <w:tcPr>
            <w:tcW w:type="dxa" w:w="1211"/>
            <w:tcW w:w="2267" w:type="dxa"/>
            <w:vMerge w:val="restart"/>
            <w:vAlign w:val="center"/>
            <w:shd w:fill="4F0B7B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 estándar de ventilación D.S. N° 594</w:t>
              <w:br/>
              <w:t>10 metros cúbicos por persona</w:t>
              <w:br/>
              <w:t>CUMPLE/NO CUMPLE</w:t>
            </w:r>
          </w:p>
        </w:tc>
      </w:tr>
      <w:tr>
        <w:trPr>
          <w:trHeight w:val="567" w:hRule="exact"/>
        </w:trPr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1700" w:type="dxa"/>
            <w:vMerge/>
          </w:tcPr>
          <w:p/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Largo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Ancho (m)</w:t>
            </w:r>
          </w:p>
        </w:tc>
        <w:tc>
          <w:tcPr>
            <w:tcW w:type="dxa" w:w="1211"/>
            <w:tcW w:w="453" w:type="dxa"/>
            <w:vAlign w:val="center"/>
            <w:shd w:fill="4F0B7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Alto (m)</w:t>
            </w:r>
          </w:p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850" w:type="dxa"/>
            <w:vMerge/>
          </w:tcPr>
          <w:p/>
        </w:tc>
        <w:tc>
          <w:tcPr>
            <w:tcW w:type="dxa" w:w="1211"/>
            <w:tcW w:w="2267" w:type="dxa"/>
            <w:vMerge/>
          </w:tcPr>
          <w:p/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Administración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3,40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3,30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28,05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14,03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Arqueo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2,70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2,30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15,53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Recepción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4,50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  <w:tr>
        <w:tc>
          <w:tcPr>
            <w:tcW w:type="dxa" w:w="1211"/>
          </w:tcPr>
          <w:p>
            <w:pPr>
              <w:jc w:val="left"/>
            </w:pPr>
            <w:r>
              <w:t>Oficina Servicio A Personas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1,90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2,50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11,88</w:t>
            </w:r>
          </w:p>
        </w:tc>
        <w:tc>
          <w:tcPr>
            <w:tcW w:type="dxa" w:w="1211"/>
          </w:tcPr>
          <w:p>
            <w:pPr>
              <w:jc w:val="center"/>
            </w:pPr>
            <w:r>
              <w:t>CUMPLE</w:t>
            </w:r>
          </w:p>
        </w:tc>
      </w:tr>
    </w:tbl>
    <w:p/>
    <w:p>
      <w:pPr>
        <w:pStyle w:val="Heading3"/>
      </w:pPr>
      <w:r>
        <w:t>3.2 Puntos de medición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fill="4f0b7b"/>
            <w:tcW w:w="1984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969"/>
            <w:shd w:fill="4f0b7b"/>
            <w:tcW w:w="1247" w:type="dxa"/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Velocidad prom. (m/s)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Sección (cm²)</w:t>
            </w:r>
          </w:p>
        </w:tc>
        <w:tc>
          <w:tcPr>
            <w:tcW w:type="dxa" w:w="969"/>
            <w:shd w:fill="4f0b7b"/>
            <w:tcW w:w="1587" w:type="dxa"/>
          </w:tcPr>
          <w:p>
            <w:r>
              <w:rPr>
                <w:b/>
                <w:color w:val="FFFFFF"/>
                <w:sz w:val="20"/>
              </w:rPr>
              <w:t>Caudal (m³/h)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Ocupación</w:t>
            </w:r>
          </w:p>
        </w:tc>
        <w:tc>
          <w:tcPr>
            <w:tcW w:type="dxa" w:w="969"/>
            <w:shd w:fill="4f0b7b"/>
            <w:tcW w:w="1417" w:type="dxa"/>
          </w:tcPr>
          <w:p>
            <w:r>
              <w:rPr>
                <w:b/>
                <w:color w:val="FFFFFF"/>
                <w:sz w:val="20"/>
              </w:rPr>
              <w:t>Aberturas</w:t>
            </w:r>
          </w:p>
        </w:tc>
        <w:tc>
          <w:tcPr>
            <w:tcW w:type="dxa" w:w="969"/>
            <w:shd w:fill="4f0b7b"/>
            <w:tcW w:w="1814" w:type="dxa"/>
          </w:tcPr>
          <w:p>
            <w:r>
              <w:rPr>
                <w:b/>
                <w:color w:val="FFFFFF"/>
                <w:sz w:val="20"/>
              </w:rPr>
              <w:t>Fecha/Hora</w:t>
            </w:r>
          </w:p>
        </w:tc>
        <w:tc>
          <w:tcPr>
            <w:tcW w:type="dxa" w:w="969"/>
            <w:shd w:fill="4f0b7b"/>
            <w:tcW w:w="2551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969"/>
            <w:tcW w:w="1984" w:type="dxa"/>
          </w:tcPr>
          <w:p>
            <w:r>
              <w:t>Oficina Administración</w:t>
            </w:r>
          </w:p>
        </w:tc>
        <w:tc>
          <w:tcPr>
            <w:tcW w:type="dxa" w:w="969"/>
            <w:tcW w:w="1247" w:type="dxa"/>
          </w:tcPr>
          <w:p>
            <w:r>
              <w:t>A1-EXT1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Arqueo</w:t>
            </w:r>
          </w:p>
        </w:tc>
        <w:tc>
          <w:tcPr>
            <w:tcW w:type="dxa" w:w="969"/>
            <w:tcW w:w="1247" w:type="dxa"/>
          </w:tcPr>
          <w:p>
            <w:r>
              <w:t>A3-EXT1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  <w:tr>
        <w:tc>
          <w:tcPr>
            <w:tcW w:type="dxa" w:w="969"/>
            <w:tcW w:w="1984" w:type="dxa"/>
          </w:tcPr>
          <w:p>
            <w:r>
              <w:t>Oficina Servicio A Personas</w:t>
            </w:r>
          </w:p>
        </w:tc>
        <w:tc>
          <w:tcPr>
            <w:tcW w:type="dxa" w:w="969"/>
            <w:tcW w:w="1247" w:type="dxa"/>
          </w:tcPr>
          <w:p>
            <w:r>
              <w:t>A4-EXT1</w:t>
            </w:r>
          </w:p>
        </w:tc>
        <w:tc>
          <w:tcPr>
            <w:tcW w:type="dxa" w:w="969"/>
            <w:tcW w:w="1417" w:type="dxa"/>
          </w:tcPr>
          <w:p>
            <w:r>
              <w:t>extraccion</w:t>
            </w:r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58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417" w:type="dxa"/>
          </w:tcPr>
          <w:p>
            <w:r/>
          </w:p>
        </w:tc>
        <w:tc>
          <w:tcPr>
            <w:tcW w:type="dxa" w:w="969"/>
            <w:tcW w:w="1814" w:type="dxa"/>
          </w:tcPr>
          <w:p>
            <w:r/>
          </w:p>
        </w:tc>
        <w:tc>
          <w:tcPr>
            <w:tcW w:type="dxa" w:w="969"/>
            <w:tcW w:w="2551" w:type="dxa"/>
          </w:tcPr>
          <w:p>
            <w:r/>
          </w:p>
        </w:tc>
      </w:tr>
    </w:tbl>
    <w:p/>
    <w:p>
      <w:pPr>
        <w:pStyle w:val="Heading2"/>
      </w:pPr>
      <w:r>
        <w:t>4. Conclusiones</w:t>
      </w:r>
    </w:p>
    <w:p>
      <w:r>
        <w:t>Durante la visita se evaluaron 4 áreas con condiciones de ventilación registradas.</w:t>
      </w:r>
    </w:p>
    <w:p>
      <w:r>
        <w:t>El indicador de m³ por persona por hora requiere ajuste en: Oficina Administración, Oficina Arqueo, Oficina Recepción, Oficina Servicio A Personas.</w:t>
      </w:r>
    </w:p>
    <w:p>
      <w:r>
        <w:t>El recambio de aire por hora es inferior al criterio normativo en: Oficina Administración, Oficina Arqueo, Oficina Recepción, Oficina Servicio A Personas.</w:t>
      </w:r>
    </w:p>
    <w:p/>
    <w:p>
      <w:pPr>
        <w:pStyle w:val="Heading2"/>
      </w:pPr>
      <w:r>
        <w:t>5. Prescripciones</w:t>
      </w:r>
    </w:p>
    <w:p>
      <w:pPr>
        <w:pStyle w:val="Heading3"/>
      </w:pPr>
      <w:r>
        <w:t>5.1 Medidas de carácter Administrativas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6803" w:type="dxa"/>
          </w:tcPr>
          <w:p>
            <w:r>
              <w:rPr>
                <w:b/>
                <w:color w:val="FFFFFF"/>
                <w:sz w:val="20"/>
              </w:rPr>
              <w:t>Medidas de control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Área y/o sector</w:t>
            </w:r>
          </w:p>
        </w:tc>
        <w:tc>
          <w:tcPr>
            <w:tcW w:type="dxa" w:w="3230"/>
            <w:shd w:fill="4F0B7B"/>
            <w:tcW w:w="2267" w:type="dxa"/>
          </w:tcPr>
          <w:p>
            <w:r>
              <w:rPr>
                <w:b/>
                <w:color w:val="FFFFFF"/>
                <w:sz w:val="20"/>
              </w:rPr>
              <w:t>Plazo de cumplimiento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Informar a cada persona trabajadora acerca de los riesgos que entrañan sus labores, de las medidas preventivas, de los métodos y/o procedimientos de trabajo correctos, acorde a lo identificado por la empresa. Además, la entidad empleadora deberá informar de manera oportuna y adecuada el resultado del presente informe técnico. En el marco del artículo 15°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30 días desde la recepción del presente informe técnico.</w:t>
            </w:r>
          </w:p>
        </w:tc>
      </w:tr>
      <w:tr>
        <w:tc>
          <w:tcPr>
            <w:tcW w:type="dxa" w:w="3230"/>
            <w:tcW w:w="6803" w:type="dxa"/>
          </w:tcPr>
          <w:p>
            <w:r>
              <w:t>Realizar capacitaciones (teóricas/prácticas) periódicas en prevención de riesgos laborales, con la finalidad de garantizar el aprendizaje efectivo y eficaz, dejando registro de dichas capacitaciones y evaluaciones. En el marco del artículo 16° del Párrafo IV del D.S 44 “Aprueba nuevo reglamento sobre gestión preventiva de los riesgos laborales para un entorno de trabajo seguro y saludable”.</w:t>
            </w:r>
          </w:p>
        </w:tc>
        <w:tc>
          <w:tcPr>
            <w:tcW w:type="dxa" w:w="3230"/>
            <w:tcW w:w="2267" w:type="dxa"/>
          </w:tcPr>
          <w:p>
            <w:r>
              <w:t>Todas las áreas evaluadas</w:t>
            </w:r>
          </w:p>
        </w:tc>
        <w:tc>
          <w:tcPr>
            <w:tcW w:type="dxa" w:w="3230"/>
            <w:tcW w:w="2267" w:type="dxa"/>
          </w:tcPr>
          <w:p>
            <w:r>
              <w:t>De acuerdo a Programa de Capacitación vigente, se debe ejecutar lo prescrito de manera permanente.</w:t>
            </w:r>
          </w:p>
        </w:tc>
      </w:tr>
    </w:tbl>
    <w:p>
      <w:pPr>
        <w:pStyle w:val="Heading2"/>
        <w:jc w:val="left"/>
      </w:pPr>
      <w:r>
        <w:t>6. Vigencia del informe</w:t>
      </w:r>
    </w:p>
    <w:p>
      <w:r>
        <w:t>En términos generales, el presente informe tiene validez de 3 años, a excepción que existan cambios en la situación, del tipo ingenieril o administrativo, que presupongan modificación a las condiciones encontradas al momento de la medición, lo cual implicará realizar una nueva evaluación en un plazo menor al señalado.</w:t>
      </w:r>
    </w:p>
    <w:p/>
    <w:p>
      <w:r>
        <w:t>Cuando se concreten los cambios indicados, la empresa deberá informar al IST el detalle de los mismos, de forma tal de programar las gestiones a realizar, las que considerarán previamente un informe de Verificación y Control y posteriormente, de acuerdo a sus resultados, la nueva evaluación de higiene ocupacional correspondiente.</w:t>
      </w:r>
    </w:p>
    <w:p/>
    <w:p>
      <w:r>
        <w:t>Estos resultados de evaluación representan las condiciones existentes del ambiente y lugar de trabajo al momento de realizar las mediciones.</w:t>
      </w:r>
    </w:p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40000" cy="7127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iana-Mar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71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Mariana Marin Mendez</w:t>
      </w:r>
    </w:p>
    <w:p>
      <w:pPr>
        <w:jc w:val="center"/>
      </w:pPr>
      <w:r>
        <w:t>Consultor en Prevención de Riesgos</w:t>
      </w:r>
    </w:p>
    <w:p>
      <w:pPr>
        <w:jc w:val="center"/>
      </w:pPr>
      <w:r>
        <w:t>Zonal Sur-Temuco</w:t>
      </w:r>
    </w:p>
    <w:p>
      <w:r>
        <w:br w:type="page"/>
      </w:r>
    </w:p>
    <w:p>
      <w:pPr>
        <w:pStyle w:val="Heading2"/>
      </w:pPr>
      <w:r>
        <w:t>Anexos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4f0b7b"/>
            <w:tcW w:w="1700" w:type="dxa"/>
          </w:tcPr>
          <w:p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230"/>
            <w:shd w:fill="4f0b7b"/>
            <w:tcW w:w="2834" w:type="dxa"/>
          </w:tcPr>
          <w:p>
            <w:r>
              <w:rPr>
                <w:b/>
                <w:color w:val="FFFFFF"/>
                <w:sz w:val="20"/>
              </w:rPr>
              <w:t>Observaciones</w:t>
            </w:r>
          </w:p>
        </w:tc>
        <w:tc>
          <w:tcPr>
            <w:tcW w:type="dxa" w:w="3230"/>
            <w:shd w:fill="4f0b7b"/>
            <w:tcW w:w="4818" w:type="dxa"/>
          </w:tcPr>
          <w:p>
            <w:r>
              <w:rPr>
                <w:b/>
                <w:color w:val="FFFFFF"/>
                <w:sz w:val="20"/>
              </w:rPr>
              <w:t>Registro fotográfico</w:t>
            </w:r>
          </w:p>
        </w:tc>
      </w:tr>
      <w:tr>
        <w:tc>
          <w:tcPr>
            <w:tcW w:type="dxa" w:w="3230"/>
          </w:tcPr>
          <w:p>
            <w:r>
              <w:t>Oficina Administración</w:t>
            </w:r>
          </w:p>
        </w:tc>
        <w:tc>
          <w:tcPr>
            <w:tcW w:type="dxa" w:w="3230"/>
          </w:tcPr>
          <w:p>
            <w:r>
              <w:t>Puerta De Ingreso, Cuenta Con Rejilla De Ventilacion,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Arqueo</w:t>
            </w:r>
          </w:p>
        </w:tc>
        <w:tc>
          <w:tcPr>
            <w:tcW w:type="dxa" w:w="3230"/>
          </w:tcPr>
          <w:p>
            <w:r>
              <w:t>Cuenta Con Puerta De Ingreso, Rejilla De Ventilacion,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Recepción</w:t>
            </w:r>
          </w:p>
        </w:tc>
        <w:tc>
          <w:tcPr>
            <w:tcW w:type="dxa" w:w="3230"/>
          </w:tcPr>
          <w:p>
            <w:r>
              <w:t>Cuenta Con Puerta De Ingreso Y Ventana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  <w:tr>
        <w:tc>
          <w:tcPr>
            <w:tcW w:type="dxa" w:w="3230"/>
          </w:tcPr>
          <w:p>
            <w:r>
              <w:t>Oficina Servicio A Personas</w:t>
            </w:r>
          </w:p>
        </w:tc>
        <w:tc>
          <w:tcPr>
            <w:tcW w:type="dxa" w:w="3230"/>
          </w:tcPr>
          <w:p>
            <w:r>
              <w:t>Cuenta Con Puerta De Ingreso, Rejilla De Ventilacion, Aire Acondicionado Funcionando</w:t>
            </w:r>
          </w:p>
        </w:tc>
        <w:tc>
          <w:tcPr>
            <w:tcW w:type="dxa" w:w="3230"/>
          </w:tcPr>
          <w:p>
            <w:r>
              <w:t>Sin registro fotográfico.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17" w:right="1134" w:bottom="850" w:left="1417" w:header="576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720000" cy="55568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S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00" cy="55568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  <w:jc w:val="both"/>
    </w:pPr>
    <w:rPr>
      <w:rFonts w:ascii="Calibri" w:hAnsi="Calibri"/>
      <w:b w:val="0"/>
      <w:i w:val="0"/>
      <w:color w:val="000000"/>
      <w:sz w:val="20"/>
      <w:lang w:val="es-CL" w:eastAsia="es-CL" w:bidi="es-C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8"/>
      <w:szCs w:val="28"/>
      <w:lang w:val="es-CL" w:eastAsia="es-CL" w:bidi="es-C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F0B7B"/>
      <w:sz w:val="24"/>
      <w:szCs w:val="26"/>
      <w:lang w:val="es-CL" w:eastAsia="es-CL" w:bidi="es-C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60"/>
      <w:jc w:val="left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303030"/>
      <w:sz w:val="22"/>
      <w:lang w:val="es-CL" w:eastAsia="es-CL" w:bidi="es-C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