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979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Talagante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Ohiigins Lote 1 2259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Talagante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Estrella Nuñez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Administracion, Arqueo, Recepcion, Rrhh, Sala De Computacion.</w:t>
      </w:r>
    </w:p>
    <w:p>
      <w:r>
        <w:t>El recambio de aire por hora es inferior al criterio normativo en: Administracion, Arqueo, Recepcion, Rrhh, Sala De Computacion.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Administracion</w:t>
            </w:r>
          </w:p>
        </w:tc>
        <w:tc>
          <w:tcPr>
            <w:tcW w:type="dxa" w:w="3230"/>
          </w:tcPr>
          <w:p>
            <w:r>
              <w:t>Aire Circula A Traves De Puerta. El Lugar Cuenta Con 1 Aire Acondicionado Apagado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Aire De Circulacion A Traves De Puerta, Además, El Lugar Cuenta Con 1 Aire Acondicionado Operativo Y 1 Extractor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Recepcion</w:t>
            </w:r>
          </w:p>
        </w:tc>
        <w:tc>
          <w:tcPr>
            <w:tcW w:type="dxa" w:w="3230"/>
          </w:tcPr>
          <w:p>
            <w:r>
              <w:t>Lugar Cuenta Con Circulacion De Aire Por Ventana Y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A Traves De Puerta . El Lugar Cuenta Con 1 Aire Acondicionado, 1 Celosia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Circulacion De Aire A Traves De Puerta , El Lugar Cuenta Con 1 Aire Acondicionado Al Momento De La Medicion Marco Viento 16.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