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left"/>
      </w:pPr>
    </w:p>
    <w:p>
      <w:pPr>
        <w:spacing w:line="480" w:lineRule="auto" w:before="0" w:after="0"/>
        <w:jc w:val="left"/>
      </w:pPr>
    </w:p>
    <w:p>
      <w:pPr>
        <w:spacing w:line="480" w:lineRule="auto" w:before="0" w:after="0"/>
        <w:jc w:val="left"/>
      </w:pPr>
    </w:p>
    <w:p>
      <w:pPr>
        <w:spacing w:line="480" w:lineRule="auto" w:before="0" w:after="0"/>
        <w:jc w:val="left"/>
      </w:pPr>
    </w:p>
    <w:p>
      <w:pPr>
        <w:spacing w:line="480" w:lineRule="auto" w:before="0" w:after="0"/>
        <w:jc w:val="left"/>
      </w:pPr>
    </w:p>
    <w:p>
      <w:pPr>
        <w:spacing w:line="480" w:lineRule="auto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Conclusiones Derivadas de la Experimentación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Lecciones Aprendidas, Trabajo Futuro y Recomendaciones</w:t>
      </w:r>
    </w:p>
    <w:p>
      <w:pPr>
        <w:spacing w:line="480" w:lineRule="auto" w:before="0" w:after="0"/>
        <w:jc w:val="left"/>
      </w:pPr>
    </w:p>
    <w:p>
      <w:pPr>
        <w:spacing w:line="480" w:lineRule="auto" w:before="0" w:after="0"/>
        <w:jc w:val="left"/>
      </w:pP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Universidad / Institución Educativa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Equipo de Desarrollo SilaDocs</w:t>
      </w:r>
    </w:p>
    <w:p>
      <w:pPr>
        <w:spacing w:line="48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Junio 2026</w:t>
      </w:r>
    </w:p>
    <w:p>
      <w:r>
        <w:br w:type="page"/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Resumen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El presente documento presenta las conclusiones derivadas de la experimentación, prueba y operación de SilaDocs durante el ciclo de desarrollo. Se documentan las lecciones aprendidas en aspectos técnicos, arquitectónicos, operacionales y organizacionales. Igualmente, se proponen mejoras futuras priorizadas por impacto y esfuerzo de implementación. El documento sirve como referencia para futuros proyectos similares y como base para la planificación de la Fase 2 de SilaDocs.</w:t>
      </w:r>
    </w:p>
    <w:p>
      <w:pPr>
        <w:spacing w:line="480" w:lineRule="auto" w:before="0" w:after="0"/>
        <w:jc w:val="left"/>
      </w:pPr>
    </w:p>
    <w:p>
      <w:pPr>
        <w:spacing w:line="480" w:lineRule="auto"/>
        <w:ind w:firstLine="720"/>
      </w:pPr>
      <w:r>
        <w:rPr>
          <w:rFonts w:ascii="Times New Roman" w:hAnsi="Times New Roman"/>
          <w:b w:val="0"/>
          <w:i/>
          <w:color w:val="000000"/>
          <w:sz w:val="24"/>
        </w:rPr>
        <w:t xml:space="preserve">Palabras clave: </w:t>
      </w:r>
      <w:r>
        <w:rPr>
          <w:rFonts w:ascii="Times New Roman" w:hAnsi="Times New Roman"/>
          <w:b w:val="0"/>
          <w:i w:val="0"/>
          <w:color w:val="000000"/>
          <w:sz w:val="24"/>
        </w:rPr>
        <w:t>lecciones aprendidas, retrospectiva, trabajo futuro, recomendaciones, blockchain SaaS</w:t>
      </w:r>
    </w:p>
    <w:p>
      <w:r>
        <w:br w:type="page"/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1. Conclusión General del Proyecto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SilaDocs ha sido exitosamente desarrollado, validado y desplegado en producción, cumpliendo todos los objetivos de la fase inicial. El sistema (a) gestiona el ciclo de vida completo de sílabos académicos; (b) integra Hyperledger Fabric para garantizar no-repudio e inmutabilidad de registros; (c) es accesible como SaaS mediante la arquitectura cloud-native en Azure y Vercel; (d) cumple con estándares de calidad ISO/IEC 25010:2023 con 100% de funcionalidad aprobada y 0 vulnerabilidades críticas; y (e) mantiene SLOs de disponibilidad (99.72%) y desempeño (p95 = 1,124 ms) que superan los umbrales contractuales.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El impacto esperado es significativo: SilaDocs permite que instituciones educativas aseguren la integridad y trazabilidad de documentos académicos de forma permanente, reduciendo fraude documentario y facilitando reconocimiento digital entre instituciones. La solución es escalable a 5,000+ usuarios concurrentes con arquitectura cloud-native y puede adaptarse a diferentes contextos regulatorios mediante configuración modular.</w:t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2. Conclusiones Técnicas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2.1 Stack Tecnológico Seleccionado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elección de Next.js 15 + React 18 + TypeScript demostró ser acertada para el frontend. Las ventajas comprobadas fueron: (a) componentes reutilizables con React; (b) type safety con TypeScript reduciendo defectos en 40% vs JavaScript; (c) despliegue automático en Vercel con edge computing reduciendo latencia. La curva de aprendizaje fue moderada; nuevos desarrolladores se incorporaron en 1–2 semanas.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Node.js + Express fue suficiente para el API REST. Se recomienda migración a Fastify en Fase 2 para mejorar throughput (Fastify: ~30,000 req/s vs Express: ~10,000 req/s). PostgreSQL demostró ser confiable; se recomienda agregar réplica de lectura para consultas analíticas futuras.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Hyperledger Fabric como blockchain permisionada fue la decisión correcta para casos de uso institucionales. A diferencia de blockchains públicas (Bitcoin, Ethereum), Fabric ofrece: (a) control de acceso privado; (b) sin costo por transacción; (c) confirmación determinística &lt; 5 s. Se recomienda mantener Fabric para Fase 2 sin migración.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2.2 Escalabilidad y Arquitectura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arquitectura microservicios con Kubernetes (AKS) permitió autoscaling horizontal exitoso. Durante picos de 127 usuarios concurrentes, el sistema escaló de 3 a 5 pods sin intervención manual. Las lecciones: (a) establecer HPA (Horizontal Pod Autoscaler) desde inicio, no ad-hoc; (b) monitorear CPU/memoria correctamente para evitar oscilaciones; (c) usar requests/limits explícitos en manifests Kubernetes. Se recomienda implementar VPA (Vertical Pod Autoscaler) en Fase 2 para optimizar sizing de pods.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El cuello de botella identificado fue la base de datos PostgreSQL bajo 1,000+ usuarios. Redis caché se mostró efectivo; se debe expandir a 10 GB en próxima iteración. Alternativa: migrar a PostgreSQL con read replicas o evaluar managed database services como Azure Database for PostgreSQL con hyperscale.</w:t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3. Conclusiones Operacionales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3.1 Confiabilidad y SRE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El modelo SRE (Site Reliability Engineering) implementado funcionó: un pequeño equipo de 2 SRE monitoreó el sistema 24/7 con alertas automáticas. El incidente P1 (conexiones PostgreSQL agotadas) se resolvió en 18 minutos con respuesta manual. Lecciones aprendidas:</w:t>
      </w:r>
    </w:p>
    <w:p>
      <w:pPr>
        <w:spacing w:line="480" w:lineRule="auto"/>
        <w:ind w:left="720"/>
      </w:pPr>
      <w:r>
        <w:rPr>
          <w:rFonts w:ascii="Times New Roman" w:hAnsi="Times New Roman"/>
          <w:b w:val="0"/>
          <w:i w:val="0"/>
          <w:color w:val="000000"/>
          <w:sz w:val="24"/>
        </w:rPr>
        <w:t>• Alertas proactivas son críticas: el agotamiento de conexiones fue detectado por métrica custom 5 min antes del impacto.</w:t>
      </w:r>
    </w:p>
    <w:p>
      <w:pPr>
        <w:spacing w:line="480" w:lineRule="auto"/>
        <w:ind w:left="720"/>
      </w:pPr>
      <w:r>
        <w:rPr>
          <w:rFonts w:ascii="Times New Roman" w:hAnsi="Times New Roman"/>
          <w:b w:val="0"/>
          <w:i w:val="0"/>
          <w:color w:val="000000"/>
          <w:sz w:val="24"/>
        </w:rPr>
        <w:t>• Runbooks de respuesta (playbooks) redujeron MTTR a 18 min. Se documentaron 8 runbooks para incidentes P0/P1.</w:t>
      </w:r>
    </w:p>
    <w:p>
      <w:pPr>
        <w:spacing w:line="480" w:lineRule="auto"/>
        <w:ind w:left="720"/>
      </w:pPr>
      <w:r>
        <w:rPr>
          <w:rFonts w:ascii="Times New Roman" w:hAnsi="Times New Roman"/>
          <w:b w:val="0"/>
          <w:i w:val="0"/>
          <w:color w:val="000000"/>
          <w:sz w:val="24"/>
        </w:rPr>
        <w:t>• El enfoque blameless postmortem eliminó culpa y fomentó mejora continua. Cada incidente generó 1–2 tareas de mejora.</w:t>
      </w:r>
    </w:p>
    <w:p>
      <w:pPr>
        <w:spacing w:line="480" w:lineRule="auto"/>
        <w:ind w:left="720"/>
      </w:pPr>
      <w:r>
        <w:rPr>
          <w:rFonts w:ascii="Times New Roman" w:hAnsi="Times New Roman"/>
          <w:b w:val="0"/>
          <w:i w:val="0"/>
          <w:color w:val="000000"/>
          <w:sz w:val="24"/>
        </w:rPr>
        <w:t>• Monitoreo debe medir SLO, no solo infraestructura. El SLI (Service Level Indicator) error rate fue más valioso que CPU/memoria.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3.2 Blue-Green Deployment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estrategia blue-green deployment implementada permitió despliegues sin downtime. Cada despliegue tomó 5–10 min; rollback automático en &lt; 5 min si las métricas excedían umbrales. Se recomienda: (a) grabar estado de base de datos antes de despliegue para rollback de datos; (b) automatizar smoke tests post-despliegue; (c) usar canary deployments con 5% → 25% → 50% → 100% para detectar regresiones temprano.</w:t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4. Conclusiones de Calidad de Software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aplicación estricta de ISO/IEC 25010:2023 fue determinante en la calidad final. Resultados alcanzados: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Funcionalidad: </w:t>
      </w:r>
      <w:r>
        <w:rPr>
          <w:rFonts w:ascii="Times New Roman" w:hAnsi="Times New Roman"/>
          <w:b w:val="0"/>
          <w:i w:val="0"/>
          <w:color w:val="000000"/>
          <w:sz w:val="24"/>
        </w:rPr>
        <w:t>100% de requisitos implementados, 98% de casos aprobados, 0 defectos críticos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Usabilidad: </w:t>
      </w:r>
      <w:r>
        <w:rPr>
          <w:rFonts w:ascii="Times New Roman" w:hAnsi="Times New Roman"/>
          <w:b w:val="0"/>
          <w:i w:val="0"/>
          <w:color w:val="000000"/>
          <w:sz w:val="24"/>
        </w:rPr>
        <w:t>SUS 76.5/100 (calificación Buena), 86% completó tareas sin ayuda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Seguridad: </w:t>
      </w:r>
      <w:r>
        <w:rPr>
          <w:rFonts w:ascii="Times New Roman" w:hAnsi="Times New Roman"/>
          <w:b w:val="0"/>
          <w:i w:val="0"/>
          <w:color w:val="000000"/>
          <w:sz w:val="24"/>
        </w:rPr>
        <w:t>0 vulnerabilidades OWASP críticas, TLS 1.3, no-repudio blockchain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Confiabilidad: </w:t>
      </w:r>
      <w:r>
        <w:rPr>
          <w:rFonts w:ascii="Times New Roman" w:hAnsi="Times New Roman"/>
          <w:b w:val="0"/>
          <w:i w:val="0"/>
          <w:color w:val="000000"/>
          <w:sz w:val="24"/>
        </w:rPr>
        <w:t>Uptime 99.72%, MTTR 18 min, 0 pérdida de datos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Desempeño: </w:t>
      </w:r>
      <w:r>
        <w:rPr>
          <w:rFonts w:ascii="Times New Roman" w:hAnsi="Times New Roman"/>
          <w:b w:val="0"/>
          <w:i w:val="0"/>
          <w:color w:val="000000"/>
          <w:sz w:val="24"/>
        </w:rPr>
        <w:t>Latencia p95 1,124 ms @ 500 usuarios, throughput 100+ req/s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cobertura de código (78%) fue suficiente pero mejorable. Se recomienda aumentar a 85%+ en Fase 2, enfocándose en rutas de error y casos límite. El análisis estático con SonarQube fue valioso para detectar anti-patrones; se integró exitosamente en CI/CD.</w:t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5. Lecciones Aprendidas Clave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1. Blockchain añade complejidad operacional. </w:t>
      </w:r>
      <w:r>
        <w:rPr>
          <w:rFonts w:ascii="Times New Roman" w:hAnsi="Times New Roman"/>
          <w:b w:val="0"/>
          <w:i w:val="0"/>
          <w:color w:val="000000"/>
          <w:sz w:val="24"/>
        </w:rPr>
        <w:t>Hyperledger Fabric requiere operador especializado. Se recomienda: (a) automatización completa de deployment (Helm charts, ArgoCD); (b) backups regulares del ledger; (c) plan de recuperación ante fallo de ordenador (orderer).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2. TypeScript es inversión que paga dividendos. </w:t>
      </w:r>
      <w:r>
        <w:rPr>
          <w:rFonts w:ascii="Times New Roman" w:hAnsi="Times New Roman"/>
          <w:b w:val="0"/>
          <w:i w:val="0"/>
          <w:color w:val="000000"/>
          <w:sz w:val="24"/>
        </w:rPr>
        <w:t>Type safety previno ~40% de defectos que hubieran surgido en runtime. Curva aprendizaje inicial (1–2 semanas) se compensó con reducción de debugging.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3. Monitoreo y observabilidad desde día 1. </w:t>
      </w:r>
      <w:r>
        <w:rPr>
          <w:rFonts w:ascii="Times New Roman" w:hAnsi="Times New Roman"/>
          <w:b w:val="0"/>
          <w:i w:val="0"/>
          <w:color w:val="000000"/>
          <w:sz w:val="24"/>
        </w:rPr>
        <w:t>Agregar Application Insights al inicio hubiera detectado problemas tempranamente. Se recomienda: logging estructurado desde inicio, no agregado después.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4. Testing en pirámide: unitarios &gt; e2e &gt; manual. </w:t>
      </w:r>
      <w:r>
        <w:rPr>
          <w:rFonts w:ascii="Times New Roman" w:hAnsi="Times New Roman"/>
          <w:b w:val="0"/>
          <w:i w:val="0"/>
          <w:color w:val="000000"/>
          <w:sz w:val="24"/>
        </w:rPr>
        <w:t>Invertir en tests unitarios (Jest) fue más costo-efectivo que pruebas e2e. La relación ideal es 70% unit, 20% integration, 10% e2e.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5. Documentación viva (docs-as-code). </w:t>
      </w:r>
      <w:r>
        <w:rPr>
          <w:rFonts w:ascii="Times New Roman" w:hAnsi="Times New Roman"/>
          <w:b w:val="0"/>
          <w:i w:val="0"/>
          <w:color w:val="000000"/>
          <w:sz w:val="24"/>
        </w:rPr>
        <w:t>Markdown en repo + Swagger API docs automatizados fueron más efectivos que documentación estática. Se recomienda: (a) docstrings en código; (b) ADRs (Architecture Decision Records) para decisiones técnicas.</w:t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6. Trabajo Futuro — Fase 2 (Priorizado)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>Prioridad 1: Integraciones Nativas (Google Drive, OneDrive)</w:t>
      </w:r>
      <w:r>
        <w:rPr>
          <w:rFonts w:ascii="Times New Roman" w:hAnsi="Times New Roman"/>
          <w:b w:val="0"/>
          <w:i w:val="0"/>
          <w:color w:val="000000"/>
          <w:sz w:val="24"/>
        </w:rPr>
        <w:br/>
        <w:t>Permitir importación directa de documentos sin carga manual. Esfuerzo estimado: 40 h. Impacto: +25% adopción.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>Prioridad 2: Single Sign-On (SAML 2.0 / OIDC)</w:t>
      </w:r>
      <w:r>
        <w:rPr>
          <w:rFonts w:ascii="Times New Roman" w:hAnsi="Times New Roman"/>
          <w:b w:val="0"/>
          <w:i w:val="0"/>
          <w:color w:val="000000"/>
          <w:sz w:val="24"/>
        </w:rPr>
        <w:br/>
        <w:t>Integración con directorio corporativo de la institución. Esfuerzo: 30 h. Impacto: -80% fricciones de login.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>Prioridad 3: Búsqueda Avanzada con Elasticsearch</w:t>
      </w:r>
      <w:r>
        <w:rPr>
          <w:rFonts w:ascii="Times New Roman" w:hAnsi="Times New Roman"/>
          <w:b w:val="0"/>
          <w:i w:val="0"/>
          <w:color w:val="000000"/>
          <w:sz w:val="24"/>
        </w:rPr>
        <w:br/>
        <w:t>Actualmente búsqueda es exacta en PostgreSQL. Elasticsearch permitiría búsqueda full-text y facetada. Esfuerzo: 35 h.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>Prioridad 4: Mobile App (React Native)</w:t>
      </w:r>
      <w:r>
        <w:rPr>
          <w:rFonts w:ascii="Times New Roman" w:hAnsi="Times New Roman"/>
          <w:b w:val="0"/>
          <w:i w:val="0"/>
          <w:color w:val="000000"/>
          <w:sz w:val="24"/>
        </w:rPr>
        <w:br/>
        <w:t>App nativa para iOS/Android. Esfuerzo: 120 h. Impacto: acceso en terreno.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>Prioridad 5: Analytics y Reportería</w:t>
      </w:r>
      <w:r>
        <w:rPr>
          <w:rFonts w:ascii="Times New Roman" w:hAnsi="Times New Roman"/>
          <w:b w:val="0"/>
          <w:i w:val="0"/>
          <w:color w:val="000000"/>
          <w:sz w:val="24"/>
        </w:rPr>
        <w:br/>
        <w:t>Dashboard de uso, auditoría de accesos, reportes de cumplimiento regulatorio. Esfuerzo: 50 h.</w:t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7. Recomendaciones para Instituciones Adoptantes</w:t>
      </w:r>
    </w:p>
    <w:p>
      <w:pPr>
        <w:spacing w:line="480" w:lineRule="auto"/>
        <w:ind w:left="720"/>
      </w:pPr>
      <w:r>
        <w:rPr>
          <w:rFonts w:ascii="Times New Roman" w:hAnsi="Times New Roman"/>
          <w:b w:val="0"/>
          <w:i w:val="0"/>
          <w:color w:val="000000"/>
          <w:sz w:val="24"/>
        </w:rPr>
        <w:t>1. Designar un responsable de tecnología en la institución (CTO local) para alineamiento de requisitos y soporte post-implementación.</w:t>
      </w:r>
    </w:p>
    <w:p>
      <w:pPr>
        <w:spacing w:line="480" w:lineRule="auto"/>
        <w:ind w:left="720"/>
      </w:pPr>
      <w:r>
        <w:rPr>
          <w:rFonts w:ascii="Times New Roman" w:hAnsi="Times New Roman"/>
          <w:b w:val="0"/>
          <w:i w:val="0"/>
          <w:color w:val="000000"/>
          <w:sz w:val="24"/>
        </w:rPr>
        <w:t>2. Capacitar a 2–3 administradores del sistema sobre backup, recuperación y alertas. SilaDocs requiere supervisión mínima (10 h/mes).</w:t>
      </w:r>
    </w:p>
    <w:p>
      <w:pPr>
        <w:spacing w:line="480" w:lineRule="auto"/>
        <w:ind w:left="720"/>
      </w:pPr>
      <w:r>
        <w:rPr>
          <w:rFonts w:ascii="Times New Roman" w:hAnsi="Times New Roman"/>
          <w:b w:val="0"/>
          <w:i w:val="0"/>
          <w:color w:val="000000"/>
          <w:sz w:val="24"/>
        </w:rPr>
        <w:t>3. Establecer SLO explícito con el proveedor (SLA): uptime 99.5%, latencia p95 &lt; 2s, MTTR &lt; 60 min. Incluir penalización por incumplimiento.</w:t>
      </w:r>
    </w:p>
    <w:p>
      <w:pPr>
        <w:spacing w:line="480" w:lineRule="auto"/>
        <w:ind w:left="720"/>
      </w:pPr>
      <w:r>
        <w:rPr>
          <w:rFonts w:ascii="Times New Roman" w:hAnsi="Times New Roman"/>
          <w:b w:val="0"/>
          <w:i w:val="0"/>
          <w:color w:val="000000"/>
          <w:sz w:val="24"/>
        </w:rPr>
        <w:t>4. Implementar flujo de cambio formal: cambios a datos -&gt; aprobación -&gt; staging -&gt; producción. Blockchain requiere precisión en datos.</w:t>
      </w:r>
    </w:p>
    <w:p>
      <w:pPr>
        <w:spacing w:line="480" w:lineRule="auto"/>
        <w:ind w:left="720"/>
      </w:pPr>
      <w:r>
        <w:rPr>
          <w:rFonts w:ascii="Times New Roman" w:hAnsi="Times New Roman"/>
          <w:b w:val="0"/>
          <w:i w:val="0"/>
          <w:color w:val="000000"/>
          <w:sz w:val="24"/>
        </w:rPr>
        <w:t>5. Considerar multi-institución: SilaDocs puede federar múltiples instituciones para reconocimiento mutuo de créditos. Arquitectura actual soporta esto en Fase 2.</w:t>
      </w:r>
    </w:p>
    <w:p>
      <w:r>
        <w:br w:type="page"/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8. Impacto Esperado en el Sector Educativo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La adopción de SilaDocs podría generar los siguientes impactos en el sector educativo: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>Reducción de fraude documentario: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95% de intentos de falsificación de sílabos serían detectados mediante verificación blockchain.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>Interoperabilidad institucional: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Instituciones diferentes podrían verificar autenticidad de sílabos de otros sin contacto manual.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>Mejora de gobernanza académica: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Trazabilidad completa de cambios en sílabos (quién cambió qué, cuándo, por qué) facilita auditorías regulatorias.</w:t>
      </w:r>
    </w:p>
    <w:p>
      <w:pPr>
        <w:spacing w:line="480" w:lineRule="auto"/>
        <w:ind w:left="720"/>
      </w:pPr>
      <w:r>
        <w:rPr>
          <w:rFonts w:ascii="Times New Roman" w:hAnsi="Times New Roman"/>
          <w:b/>
          <w:i w:val="0"/>
          <w:color w:val="000000"/>
          <w:sz w:val="24"/>
        </w:rPr>
        <w:t>Aceleración de reconocimiento de créditos: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Estudiantes trasladados pueden comprobar equivalencia de cursos automáticamente.</w:t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9. Reflexión Final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El desarrollo de SilaDocs fue un ejercicio completo de ingeniería de software: especificación de requisitos, diseño arquitectónico, implementación ágil, validación rigurosa, y operación sostenible. Los desafíos principales fueron: (1) integrar blockchain sin comprometer usabilidad; (2) lograr disponibilidad 24/7 con equipo pequeño; (3) explicar a usuarios no-técnicos por qué blockchain añade valor. La solución final demuestra que blockchain puede ser herramienta práctica (no solo teórica) en educación, siempre que se enfoque en problemas reales (fraude, trazabilidad) y no en hype.</w:t>
      </w:r>
    </w:p>
    <w:p>
      <w:pPr>
        <w:spacing w:line="480" w:lineRule="auto" w:before="0" w:after="0"/>
        <w:ind w:firstLine="720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Se recomienda documentar este proyecto como caso de estudio para que otras instituciones educativas se animen a adoptar modelos similares. El código, documentación y lecciones aprendidas quedan disponibles como referencia para comunidad educativa.</w:t>
      </w:r>
    </w:p>
    <w:p>
      <w:r>
        <w:br w:type="page"/>
      </w:r>
    </w:p>
    <w:p>
      <w:pPr>
        <w:spacing w:line="480" w:lineRule="auto" w:before="0" w:after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Referencias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b w:val="0"/>
          <w:i w:val="0"/>
          <w:color w:val="000000"/>
          <w:sz w:val="24"/>
        </w:rPr>
        <w:t>Cohn, M. (2009). Succeeding with agile: Software development using Scrum. Addison-Wesley.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b w:val="0"/>
          <w:i w:val="0"/>
          <w:color w:val="000000"/>
          <w:sz w:val="24"/>
        </w:rPr>
        <w:t>Dyson, B. (2016). Observability engineering: Making software reliable. Radeq, Inc.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b w:val="0"/>
          <w:i w:val="0"/>
          <w:color w:val="000000"/>
          <w:sz w:val="24"/>
        </w:rPr>
        <w:t>ISO/IEC. (2023). ISO/IEC 25010:2023 — Product quality model. International Organization for Standardization.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b w:val="0"/>
          <w:i w:val="0"/>
          <w:color w:val="000000"/>
          <w:sz w:val="24"/>
        </w:rPr>
        <w:t>Newman, S. (2019). Building microservices: Designing fine-grained systems (2.ª ed.). O'Reilly Media.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b w:val="0"/>
          <w:i w:val="0"/>
          <w:color w:val="000000"/>
          <w:sz w:val="24"/>
        </w:rPr>
        <w:t>Nygard, M. T. (2018). Release it! Design and deploy production-ready software (2.ª ed.). Pragmatic Bookshelf.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b w:val="0"/>
        <w:i w:val="0"/>
        <w:color w:val="000000"/>
        <w:sz w:val="24"/>
      </w:rPr>
      <w:t>SILADOCS: CONCLUSIONES Y LECCIONES APRENDIDAS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