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jc w:val="center"/>
      </w:pPr>
      <w:r>
        <w:rPr>
          <w:rFonts w:ascii="Times New Roman" w:hAnsi="Times New Roman"/>
          <w:b/>
          <w:i w:val="0"/>
          <w:color w:val="000000"/>
          <w:sz w:val="24"/>
        </w:rPr>
        <w:t>Despliegue de la Solución y Documentación Técnica</w:t>
      </w:r>
    </w:p>
    <w:p>
      <w:pPr>
        <w:spacing w:line="480" w:lineRule="auto"/>
        <w:jc w:val="center"/>
      </w:pPr>
      <w:r>
        <w:rPr>
          <w:rFonts w:ascii="Times New Roman" w:hAnsi="Times New Roman"/>
          <w:b w:val="0"/>
          <w:i w:val="0"/>
          <w:color w:val="000000"/>
          <w:sz w:val="24"/>
        </w:rPr>
        <w:t>Infraestructura SaaS para Gestión de Sílabos con Blockchain</w:t>
      </w:r>
    </w:p>
    <w:p>
      <w:pPr>
        <w:spacing w:line="480" w:lineRule="auto" w:before="0" w:after="0"/>
        <w:jc w:val="left"/>
      </w:pPr>
    </w:p>
    <w:p>
      <w:pPr>
        <w:spacing w:line="480" w:lineRule="auto" w:before="0" w:after="0"/>
        <w:jc w:val="left"/>
      </w:pPr>
    </w:p>
    <w:p>
      <w:pPr>
        <w:spacing w:line="480" w:lineRule="auto"/>
        <w:jc w:val="center"/>
      </w:pPr>
      <w:r>
        <w:rPr>
          <w:rFonts w:ascii="Times New Roman" w:hAnsi="Times New Roman"/>
          <w:b w:val="0"/>
          <w:i w:val="0"/>
          <w:color w:val="000000"/>
          <w:sz w:val="24"/>
        </w:rPr>
        <w:t>Universidad / Institución Educativa</w:t>
      </w:r>
    </w:p>
    <w:p>
      <w:pPr>
        <w:spacing w:line="480" w:lineRule="auto"/>
        <w:jc w:val="center"/>
      </w:pPr>
      <w:r>
        <w:rPr>
          <w:rFonts w:ascii="Times New Roman" w:hAnsi="Times New Roman"/>
          <w:b w:val="0"/>
          <w:i w:val="0"/>
          <w:color w:val="000000"/>
          <w:sz w:val="24"/>
        </w:rPr>
        <w:t>Equipo de Desarrollo SilaDocs</w:t>
      </w:r>
    </w:p>
    <w:p>
      <w:pPr>
        <w:spacing w:line="480" w:lineRule="auto"/>
        <w:jc w:val="center"/>
      </w:pPr>
      <w:r>
        <w:rPr>
          <w:rFonts w:ascii="Times New Roman" w:hAnsi="Times New Roman"/>
          <w:b w:val="0"/>
          <w:i w:val="0"/>
          <w:color w:val="000000"/>
          <w:sz w:val="24"/>
        </w:rPr>
        <w:t>Junio 2026</w:t>
      </w:r>
    </w:p>
    <w:p>
      <w:r>
        <w:br w:type="page"/>
      </w:r>
    </w:p>
    <w:p>
      <w:pPr>
        <w:spacing w:line="480" w:lineRule="auto" w:before="0" w:after="0"/>
        <w:jc w:val="center"/>
      </w:pPr>
      <w:r>
        <w:rPr>
          <w:rFonts w:ascii="Times New Roman" w:hAnsi="Times New Roman"/>
          <w:b/>
          <w:i w:val="0"/>
          <w:color w:val="000000"/>
          <w:sz w:val="24"/>
        </w:rPr>
        <w:t>Resumen</w:t>
      </w:r>
    </w:p>
    <w:p>
      <w:pPr>
        <w:spacing w:line="480" w:lineRule="auto" w:before="0" w:after="0"/>
        <w:ind w:firstLine="720"/>
        <w:jc w:val="left"/>
      </w:pPr>
      <w:r>
        <w:rPr>
          <w:rFonts w:ascii="Times New Roman" w:hAnsi="Times New Roman"/>
          <w:b w:val="0"/>
          <w:i w:val="0"/>
          <w:color w:val="000000"/>
          <w:sz w:val="24"/>
        </w:rPr>
        <w:t>SilaDocs se despliega como una solución SaaS completamente gestionada sobre la nube con arquitectura cloud-native, aprovechando servicios administrados de Microsoft Azure para el frontend y Vercel Edge Network para distribución global. El backend REST y Hyperledger Fabric blockchain se hospedan en Azure Kubernetes Service (AKS), garantizando alta disponibilidad, escalabilidad automática y observabilidad completa. La infraestructura implementa Infrastructure as Code (IaC) mediante Terraform y CI/CD automatizado con GitHub Actions. El presente documento detalla la arquitectura desplegada, la configuración de servicios, los procedimientos de despliegue, el monitoreo y los SLOs (Service Level Objectives) aplicables.</w:t>
      </w:r>
    </w:p>
    <w:p>
      <w:pPr>
        <w:spacing w:line="480" w:lineRule="auto" w:before="0" w:after="0"/>
        <w:jc w:val="left"/>
      </w:pPr>
    </w:p>
    <w:p>
      <w:pPr>
        <w:spacing w:line="480" w:lineRule="auto"/>
        <w:ind w:firstLine="720"/>
      </w:pPr>
      <w:r>
        <w:rPr>
          <w:rFonts w:ascii="Times New Roman" w:hAnsi="Times New Roman"/>
          <w:b w:val="0"/>
          <w:i/>
          <w:color w:val="000000"/>
          <w:sz w:val="24"/>
        </w:rPr>
        <w:t xml:space="preserve">Palabras clave: </w:t>
      </w:r>
      <w:r>
        <w:rPr>
          <w:rFonts w:ascii="Times New Roman" w:hAnsi="Times New Roman"/>
          <w:b w:val="0"/>
          <w:i w:val="0"/>
          <w:color w:val="000000"/>
          <w:sz w:val="24"/>
        </w:rPr>
        <w:t>SaaS, Azure, Vercel, Kubernetes, Terraform, CI/CD, blockchain, despliegue</w:t>
      </w:r>
    </w:p>
    <w:p>
      <w:r>
        <w:br w:type="page"/>
      </w:r>
    </w:p>
    <w:p>
      <w:pPr>
        <w:spacing w:line="480" w:lineRule="auto" w:before="0" w:after="0"/>
        <w:jc w:val="center"/>
      </w:pPr>
      <w:r>
        <w:rPr>
          <w:rFonts w:ascii="Times New Roman" w:hAnsi="Times New Roman"/>
          <w:b/>
          <w:i w:val="0"/>
          <w:color w:val="000000"/>
          <w:sz w:val="24"/>
        </w:rPr>
        <w:t>1. Introducción</w:t>
      </w:r>
    </w:p>
    <w:p>
      <w:pPr>
        <w:spacing w:line="480" w:lineRule="auto" w:before="0" w:after="0"/>
        <w:ind w:firstLine="720"/>
        <w:jc w:val="left"/>
      </w:pPr>
      <w:r>
        <w:rPr>
          <w:rFonts w:ascii="Times New Roman" w:hAnsi="Times New Roman"/>
          <w:b w:val="0"/>
          <w:i w:val="0"/>
          <w:color w:val="000000"/>
          <w:sz w:val="24"/>
        </w:rPr>
        <w:t>El despliegue de SilaDocs implementa un modelo de Software como Servicio (SaaS) con infraestructura distribuida globalmente. La solución combina: (a) frontend Next.js 15 desplegado en Vercel con edge computing para baja latencia; (b) API REST en Node.js hospedada en Azure Container Instances escalable; y (c) red blockchain Hyperledger Fabric gestionada en AKS. Esta arquitectura minimiza puntos únicos de fallo, soporta escalabilidad horizontal automática y proporciona observabilidad integral mediante Azure Monitor y Application Insights (Microsoft, 2024).</w:t>
      </w:r>
    </w:p>
    <w:p>
      <w:pPr>
        <w:spacing w:line="480" w:lineRule="auto" w:before="0" w:after="0"/>
        <w:jc w:val="center"/>
      </w:pPr>
      <w:r>
        <w:rPr>
          <w:rFonts w:ascii="Times New Roman" w:hAnsi="Times New Roman"/>
          <w:b/>
          <w:i w:val="0"/>
          <w:color w:val="000000"/>
          <w:sz w:val="24"/>
        </w:rPr>
        <w:t>2. Arquitectura de la Solución</w:t>
      </w:r>
    </w:p>
    <w:p>
      <w:pPr>
        <w:spacing w:line="480" w:lineRule="auto" w:before="0" w:after="0"/>
        <w:jc w:val="left"/>
      </w:pPr>
      <w:r>
        <w:rPr>
          <w:rFonts w:ascii="Times New Roman" w:hAnsi="Times New Roman"/>
          <w:b/>
          <w:i w:val="0"/>
          <w:color w:val="000000"/>
          <w:sz w:val="24"/>
        </w:rPr>
        <w:t>2.1 Componentes Principales</w:t>
      </w:r>
    </w:p>
    <w:p>
      <w:pPr>
        <w:spacing w:line="480" w:lineRule="auto" w:before="0" w:after="0"/>
        <w:ind w:firstLine="720"/>
        <w:jc w:val="left"/>
      </w:pPr>
      <w:r>
        <w:rPr>
          <w:rFonts w:ascii="Times New Roman" w:hAnsi="Times New Roman"/>
          <w:b w:val="0"/>
          <w:i w:val="0"/>
          <w:color w:val="000000"/>
          <w:sz w:val="24"/>
        </w:rPr>
        <w:t>La solución se compone de cuatro capas: (1) Presentación (Next.js + React), (2) API Gateway y Microservicios (Node.js/Express), (3) Datos (PostgreSQL), y (4) Blockchain (Hyperledger Fabric). Cada componente se despliega en contenedores Docker orquestados por Kubernetes, garantizando portabilidad y reproducibilidad (Newman, 2019).</w:t>
      </w:r>
    </w:p>
    <w:p>
      <w:pPr>
        <w:spacing w:line="480" w:lineRule="auto"/>
        <w:jc w:val="center"/>
      </w:pPr>
      <w:r>
        <w:rPr>
          <w:rFonts w:ascii="Times New Roman" w:hAnsi="Times New Roman"/>
          <w:b w:val="0"/>
          <w:i w:val="0"/>
          <w:color w:val="000000"/>
          <w:sz w:val="24"/>
        </w:rPr>
        <w:t>Tabla 1</w:t>
      </w:r>
    </w:p>
    <w:p>
      <w:pPr>
        <w:spacing w:line="480" w:lineRule="auto"/>
        <w:jc w:val="left"/>
      </w:pPr>
      <w:r>
        <w:rPr>
          <w:rFonts w:ascii="Times New Roman" w:hAnsi="Times New Roman"/>
          <w:b w:val="0"/>
          <w:i/>
          <w:color w:val="000000"/>
          <w:sz w:val="24"/>
        </w:rPr>
        <w:t>Componentes Técnicos de SilaDocs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val="clear" w:color="auto" w:fill="D0D0D0"/>
          </w:tcPr>
          <w:p>
            <w:pPr>
              <w:spacing w:before="40" w:after="40"/>
              <w:jc w:val="left"/>
            </w:pPr>
            <w:r/>
            <w:r>
              <w:rPr>
                <w:rFonts w:ascii="Times New Roman" w:hAnsi="Times New Roman"/>
                <w:b/>
                <w:color w:val="000000"/>
                <w:sz w:val="20"/>
              </w:rPr>
              <w:t>Capa</w:t>
            </w:r>
          </w:p>
        </w:tc>
        <w:tc>
          <w:tcPr>
            <w:tcW w:type="dxa" w:w="1872"/>
            <w:shd w:val="clear" w:color="auto" w:fill="D0D0D0"/>
          </w:tcPr>
          <w:p>
            <w:pPr>
              <w:spacing w:before="40" w:after="40"/>
              <w:jc w:val="left"/>
            </w:pPr>
            <w:r/>
            <w:r>
              <w:rPr>
                <w:rFonts w:ascii="Times New Roman" w:hAnsi="Times New Roman"/>
                <w:b/>
                <w:color w:val="000000"/>
                <w:sz w:val="20"/>
              </w:rPr>
              <w:t>Componente</w:t>
            </w:r>
          </w:p>
        </w:tc>
        <w:tc>
          <w:tcPr>
            <w:tcW w:type="dxa" w:w="2880"/>
            <w:shd w:val="clear" w:color="auto" w:fill="D0D0D0"/>
          </w:tcPr>
          <w:p>
            <w:pPr>
              <w:spacing w:before="40" w:after="40"/>
              <w:jc w:val="left"/>
            </w:pPr>
            <w:r/>
            <w:r>
              <w:rPr>
                <w:rFonts w:ascii="Times New Roman" w:hAnsi="Times New Roman"/>
                <w:b/>
                <w:color w:val="000000"/>
                <w:sz w:val="20"/>
              </w:rPr>
              <w:t>Tecnología</w:t>
            </w:r>
          </w:p>
        </w:tc>
        <w:tc>
          <w:tcPr>
            <w:tcW w:type="dxa" w:w="2592"/>
            <w:shd w:val="clear" w:color="auto" w:fill="D0D0D0"/>
          </w:tcPr>
          <w:p>
            <w:pPr>
              <w:spacing w:before="40" w:after="40"/>
              <w:jc w:val="left"/>
            </w:pPr>
            <w:r/>
            <w:r>
              <w:rPr>
                <w:rFonts w:ascii="Times New Roman" w:hAnsi="Times New Roman"/>
                <w:b/>
                <w:color w:val="000000"/>
                <w:sz w:val="20"/>
              </w:rPr>
              <w:t>Alojamiento</w:t>
            </w:r>
          </w:p>
        </w:tc>
        <w:tc>
          <w:tcPr>
            <w:tcW w:type="dxa" w:w="1152"/>
            <w:shd w:val="clear" w:color="auto" w:fill="D0D0D0"/>
          </w:tcPr>
          <w:p>
            <w:pPr>
              <w:spacing w:before="40" w:after="40"/>
              <w:jc w:val="left"/>
            </w:pPr>
            <w:r/>
            <w:r>
              <w:rPr>
                <w:rFonts w:ascii="Times New Roman" w:hAnsi="Times New Roman"/>
                <w:b/>
                <w:color w:val="000000"/>
                <w:sz w:val="20"/>
              </w:rPr>
              <w:t>SLO</w:t>
            </w:r>
          </w:p>
        </w:tc>
      </w:tr>
      <w:tr>
        <w:tc>
          <w:tcPr>
            <w:tcW w:type="dxa" w:w="1584"/>
          </w:tcPr>
          <w:p>
            <w:pPr>
              <w:spacing w:before="40" w:after="40"/>
              <w:jc w:val="left"/>
            </w:pPr>
            <w:r/>
            <w:r>
              <w:rPr>
                <w:rFonts w:ascii="Times New Roman" w:hAnsi="Times New Roman"/>
                <w:b w:val="0"/>
                <w:color w:val="000000"/>
                <w:sz w:val="20"/>
              </w:rPr>
              <w:t>Presentación</w:t>
            </w:r>
          </w:p>
        </w:tc>
        <w:tc>
          <w:tcPr>
            <w:tcW w:type="dxa" w:w="1872"/>
          </w:tcPr>
          <w:p>
            <w:pPr>
              <w:spacing w:before="40" w:after="40"/>
              <w:jc w:val="left"/>
            </w:pPr>
            <w:r/>
            <w:r>
              <w:rPr>
                <w:rFonts w:ascii="Times New Roman" w:hAnsi="Times New Roman"/>
                <w:b w:val="0"/>
                <w:color w:val="000000"/>
                <w:sz w:val="20"/>
              </w:rPr>
              <w:t>Frontend Web</w:t>
            </w:r>
          </w:p>
        </w:tc>
        <w:tc>
          <w:tcPr>
            <w:tcW w:type="dxa" w:w="2880"/>
          </w:tcPr>
          <w:p>
            <w:pPr>
              <w:spacing w:before="40" w:after="40"/>
              <w:jc w:val="left"/>
            </w:pPr>
            <w:r/>
            <w:r>
              <w:rPr>
                <w:rFonts w:ascii="Times New Roman" w:hAnsi="Times New Roman"/>
                <w:b w:val="0"/>
                <w:color w:val="000000"/>
                <w:sz w:val="20"/>
              </w:rPr>
              <w:t>Next.js 15.5, React 18, TypeScript</w:t>
            </w:r>
          </w:p>
        </w:tc>
        <w:tc>
          <w:tcPr>
            <w:tcW w:type="dxa" w:w="2592"/>
          </w:tcPr>
          <w:p>
            <w:pPr>
              <w:spacing w:before="40" w:after="40"/>
              <w:jc w:val="left"/>
            </w:pPr>
            <w:r/>
            <w:r>
              <w:rPr>
                <w:rFonts w:ascii="Times New Roman" w:hAnsi="Times New Roman"/>
                <w:b w:val="0"/>
                <w:color w:val="000000"/>
                <w:sz w:val="20"/>
              </w:rPr>
              <w:t>Vercel Edge</w:t>
            </w:r>
          </w:p>
        </w:tc>
        <w:tc>
          <w:tcPr>
            <w:tcW w:type="dxa" w:w="1152"/>
          </w:tcPr>
          <w:p>
            <w:pPr>
              <w:spacing w:before="40" w:after="40"/>
              <w:jc w:val="left"/>
            </w:pPr>
            <w:r/>
            <w:r>
              <w:rPr>
                <w:rFonts w:ascii="Times New Roman" w:hAnsi="Times New Roman"/>
                <w:b w:val="0"/>
                <w:color w:val="000000"/>
                <w:sz w:val="20"/>
              </w:rPr>
              <w:t>99.95%</w:t>
            </w:r>
          </w:p>
        </w:tc>
      </w:tr>
      <w:tr>
        <w:tc>
          <w:tcPr>
            <w:tcW w:type="dxa" w:w="1584"/>
          </w:tcPr>
          <w:p>
            <w:pPr>
              <w:spacing w:before="40" w:after="40"/>
              <w:jc w:val="left"/>
            </w:pPr>
            <w:r/>
            <w:r>
              <w:rPr>
                <w:rFonts w:ascii="Times New Roman" w:hAnsi="Times New Roman"/>
                <w:b w:val="0"/>
                <w:color w:val="000000"/>
                <w:sz w:val="20"/>
              </w:rPr>
              <w:t>API Gateway</w:t>
            </w:r>
          </w:p>
        </w:tc>
        <w:tc>
          <w:tcPr>
            <w:tcW w:type="dxa" w:w="1872"/>
          </w:tcPr>
          <w:p>
            <w:pPr>
              <w:spacing w:before="40" w:after="40"/>
              <w:jc w:val="left"/>
            </w:pPr>
            <w:r/>
            <w:r>
              <w:rPr>
                <w:rFonts w:ascii="Times New Roman" w:hAnsi="Times New Roman"/>
                <w:b w:val="0"/>
                <w:color w:val="000000"/>
                <w:sz w:val="20"/>
              </w:rPr>
              <w:t>REST API</w:t>
            </w:r>
          </w:p>
        </w:tc>
        <w:tc>
          <w:tcPr>
            <w:tcW w:type="dxa" w:w="2880"/>
          </w:tcPr>
          <w:p>
            <w:pPr>
              <w:spacing w:before="40" w:after="40"/>
              <w:jc w:val="left"/>
            </w:pPr>
            <w:r/>
            <w:r>
              <w:rPr>
                <w:rFonts w:ascii="Times New Roman" w:hAnsi="Times New Roman"/>
                <w:b w:val="0"/>
                <w:color w:val="000000"/>
                <w:sz w:val="20"/>
              </w:rPr>
              <w:t>Node.js 20, Express.js</w:t>
            </w:r>
          </w:p>
        </w:tc>
        <w:tc>
          <w:tcPr>
            <w:tcW w:type="dxa" w:w="2592"/>
          </w:tcPr>
          <w:p>
            <w:pPr>
              <w:spacing w:before="40" w:after="40"/>
              <w:jc w:val="left"/>
            </w:pPr>
            <w:r/>
            <w:r>
              <w:rPr>
                <w:rFonts w:ascii="Times New Roman" w:hAnsi="Times New Roman"/>
                <w:b w:val="0"/>
                <w:color w:val="000000"/>
                <w:sz w:val="20"/>
              </w:rPr>
              <w:t>Azure Container Instances</w:t>
            </w:r>
          </w:p>
        </w:tc>
        <w:tc>
          <w:tcPr>
            <w:tcW w:type="dxa" w:w="1152"/>
          </w:tcPr>
          <w:p>
            <w:pPr>
              <w:spacing w:before="40" w:after="40"/>
              <w:jc w:val="left"/>
            </w:pPr>
            <w:r/>
            <w:r>
              <w:rPr>
                <w:rFonts w:ascii="Times New Roman" w:hAnsi="Times New Roman"/>
                <w:b w:val="0"/>
                <w:color w:val="000000"/>
                <w:sz w:val="20"/>
              </w:rPr>
              <w:t>99.9%</w:t>
            </w:r>
          </w:p>
        </w:tc>
      </w:tr>
      <w:tr>
        <w:tc>
          <w:tcPr>
            <w:tcW w:type="dxa" w:w="1584"/>
          </w:tcPr>
          <w:p>
            <w:pPr>
              <w:spacing w:before="40" w:after="40"/>
              <w:jc w:val="left"/>
            </w:pPr>
            <w:r/>
            <w:r>
              <w:rPr>
                <w:rFonts w:ascii="Times New Roman" w:hAnsi="Times New Roman"/>
                <w:b w:val="0"/>
                <w:color w:val="000000"/>
                <w:sz w:val="20"/>
              </w:rPr>
              <w:t>Base de Datos</w:t>
            </w:r>
          </w:p>
        </w:tc>
        <w:tc>
          <w:tcPr>
            <w:tcW w:type="dxa" w:w="1872"/>
          </w:tcPr>
          <w:p>
            <w:pPr>
              <w:spacing w:before="40" w:after="40"/>
              <w:jc w:val="left"/>
            </w:pPr>
            <w:r/>
            <w:r>
              <w:rPr>
                <w:rFonts w:ascii="Times New Roman" w:hAnsi="Times New Roman"/>
                <w:b w:val="0"/>
                <w:color w:val="000000"/>
                <w:sz w:val="20"/>
              </w:rPr>
              <w:t>BD Relacional</w:t>
            </w:r>
          </w:p>
        </w:tc>
        <w:tc>
          <w:tcPr>
            <w:tcW w:type="dxa" w:w="2880"/>
          </w:tcPr>
          <w:p>
            <w:pPr>
              <w:spacing w:before="40" w:after="40"/>
              <w:jc w:val="left"/>
            </w:pPr>
            <w:r/>
            <w:r>
              <w:rPr>
                <w:rFonts w:ascii="Times New Roman" w:hAnsi="Times New Roman"/>
                <w:b w:val="0"/>
                <w:color w:val="000000"/>
                <w:sz w:val="20"/>
              </w:rPr>
              <w:t>PostgreSQL 15 + Redis 7</w:t>
            </w:r>
          </w:p>
        </w:tc>
        <w:tc>
          <w:tcPr>
            <w:tcW w:type="dxa" w:w="2592"/>
          </w:tcPr>
          <w:p>
            <w:pPr>
              <w:spacing w:before="40" w:after="40"/>
              <w:jc w:val="left"/>
            </w:pPr>
            <w:r/>
            <w:r>
              <w:rPr>
                <w:rFonts w:ascii="Times New Roman" w:hAnsi="Times New Roman"/>
                <w:b w:val="0"/>
                <w:color w:val="000000"/>
                <w:sz w:val="20"/>
              </w:rPr>
              <w:t>Azure Database for PostgreSQL</w:t>
            </w:r>
          </w:p>
        </w:tc>
        <w:tc>
          <w:tcPr>
            <w:tcW w:type="dxa" w:w="1152"/>
          </w:tcPr>
          <w:p>
            <w:pPr>
              <w:spacing w:before="40" w:after="40"/>
              <w:jc w:val="left"/>
            </w:pPr>
            <w:r/>
            <w:r>
              <w:rPr>
                <w:rFonts w:ascii="Times New Roman" w:hAnsi="Times New Roman"/>
                <w:b w:val="0"/>
                <w:color w:val="000000"/>
                <w:sz w:val="20"/>
              </w:rPr>
              <w:t>99.95%</w:t>
            </w:r>
          </w:p>
        </w:tc>
      </w:tr>
      <w:tr>
        <w:tc>
          <w:tcPr>
            <w:tcW w:type="dxa" w:w="1584"/>
          </w:tcPr>
          <w:p>
            <w:pPr>
              <w:spacing w:before="40" w:after="40"/>
              <w:jc w:val="left"/>
            </w:pPr>
            <w:r/>
            <w:r>
              <w:rPr>
                <w:rFonts w:ascii="Times New Roman" w:hAnsi="Times New Roman"/>
                <w:b w:val="0"/>
                <w:color w:val="000000"/>
                <w:sz w:val="20"/>
              </w:rPr>
              <w:t>Blockchain</w:t>
            </w:r>
          </w:p>
        </w:tc>
        <w:tc>
          <w:tcPr>
            <w:tcW w:type="dxa" w:w="1872"/>
          </w:tcPr>
          <w:p>
            <w:pPr>
              <w:spacing w:before="40" w:after="40"/>
              <w:jc w:val="left"/>
            </w:pPr>
            <w:r/>
            <w:r>
              <w:rPr>
                <w:rFonts w:ascii="Times New Roman" w:hAnsi="Times New Roman"/>
                <w:b w:val="0"/>
                <w:color w:val="000000"/>
                <w:sz w:val="20"/>
              </w:rPr>
              <w:t>Red Hyperledger</w:t>
            </w:r>
          </w:p>
        </w:tc>
        <w:tc>
          <w:tcPr>
            <w:tcW w:type="dxa" w:w="2880"/>
          </w:tcPr>
          <w:p>
            <w:pPr>
              <w:spacing w:before="40" w:after="40"/>
              <w:jc w:val="left"/>
            </w:pPr>
            <w:r/>
            <w:r>
              <w:rPr>
                <w:rFonts w:ascii="Times New Roman" w:hAnsi="Times New Roman"/>
                <w:b w:val="0"/>
                <w:color w:val="000000"/>
                <w:sz w:val="20"/>
              </w:rPr>
              <w:t>Hyperledger Fabric 2.5</w:t>
            </w:r>
          </w:p>
        </w:tc>
        <w:tc>
          <w:tcPr>
            <w:tcW w:type="dxa" w:w="2592"/>
          </w:tcPr>
          <w:p>
            <w:pPr>
              <w:spacing w:before="40" w:after="40"/>
              <w:jc w:val="left"/>
            </w:pPr>
            <w:r/>
            <w:r>
              <w:rPr>
                <w:rFonts w:ascii="Times New Roman" w:hAnsi="Times New Roman"/>
                <w:b w:val="0"/>
                <w:color w:val="000000"/>
                <w:sz w:val="20"/>
              </w:rPr>
              <w:t>Azure Kubernetes Service (AKS)</w:t>
            </w:r>
          </w:p>
        </w:tc>
        <w:tc>
          <w:tcPr>
            <w:tcW w:type="dxa" w:w="1152"/>
          </w:tcPr>
          <w:p>
            <w:pPr>
              <w:spacing w:before="40" w:after="40"/>
              <w:jc w:val="left"/>
            </w:pPr>
            <w:r/>
            <w:r>
              <w:rPr>
                <w:rFonts w:ascii="Times New Roman" w:hAnsi="Times New Roman"/>
                <w:b w:val="0"/>
                <w:color w:val="000000"/>
                <w:sz w:val="20"/>
              </w:rPr>
              <w:t>99.5%</w:t>
            </w:r>
          </w:p>
        </w:tc>
      </w:tr>
      <w:tr>
        <w:tc>
          <w:tcPr>
            <w:tcW w:type="dxa" w:w="1584"/>
          </w:tcPr>
          <w:p>
            <w:pPr>
              <w:spacing w:before="40" w:after="40"/>
              <w:jc w:val="left"/>
            </w:pPr>
            <w:r/>
            <w:r>
              <w:rPr>
                <w:rFonts w:ascii="Times New Roman" w:hAnsi="Times New Roman"/>
                <w:b w:val="0"/>
                <w:color w:val="000000"/>
                <w:sz w:val="20"/>
              </w:rPr>
              <w:t>Monitoreo</w:t>
            </w:r>
          </w:p>
        </w:tc>
        <w:tc>
          <w:tcPr>
            <w:tcW w:type="dxa" w:w="1872"/>
          </w:tcPr>
          <w:p>
            <w:pPr>
              <w:spacing w:before="40" w:after="40"/>
              <w:jc w:val="left"/>
            </w:pPr>
            <w:r/>
            <w:r>
              <w:rPr>
                <w:rFonts w:ascii="Times New Roman" w:hAnsi="Times New Roman"/>
                <w:b w:val="0"/>
                <w:color w:val="000000"/>
                <w:sz w:val="20"/>
              </w:rPr>
              <w:t>Observabilidad</w:t>
            </w:r>
          </w:p>
        </w:tc>
        <w:tc>
          <w:tcPr>
            <w:tcW w:type="dxa" w:w="2880"/>
          </w:tcPr>
          <w:p>
            <w:pPr>
              <w:spacing w:before="40" w:after="40"/>
              <w:jc w:val="left"/>
            </w:pPr>
            <w:r/>
            <w:r>
              <w:rPr>
                <w:rFonts w:ascii="Times New Roman" w:hAnsi="Times New Roman"/>
                <w:b w:val="0"/>
                <w:color w:val="000000"/>
                <w:sz w:val="20"/>
              </w:rPr>
              <w:t>Azure Monitor, App Insights</w:t>
            </w:r>
          </w:p>
        </w:tc>
        <w:tc>
          <w:tcPr>
            <w:tcW w:type="dxa" w:w="2592"/>
          </w:tcPr>
          <w:p>
            <w:pPr>
              <w:spacing w:before="40" w:after="40"/>
              <w:jc w:val="left"/>
            </w:pPr>
            <w:r/>
            <w:r>
              <w:rPr>
                <w:rFonts w:ascii="Times New Roman" w:hAnsi="Times New Roman"/>
                <w:b w:val="0"/>
                <w:color w:val="000000"/>
                <w:sz w:val="20"/>
              </w:rPr>
              <w:t>Azure Monitor</w:t>
            </w:r>
          </w:p>
        </w:tc>
        <w:tc>
          <w:tcPr>
            <w:tcW w:type="dxa" w:w="1152"/>
          </w:tcPr>
          <w:p>
            <w:pPr>
              <w:spacing w:before="40" w:after="40"/>
              <w:jc w:val="left"/>
            </w:pPr>
            <w:r/>
            <w:r>
              <w:rPr>
                <w:rFonts w:ascii="Times New Roman" w:hAnsi="Times New Roman"/>
                <w:b w:val="0"/>
                <w:color w:val="000000"/>
                <w:sz w:val="20"/>
              </w:rPr>
              <w:t>99.9%</w:t>
            </w:r>
          </w:p>
        </w:tc>
      </w:tr>
    </w:tbl>
    <w:p>
      <w:pPr>
        <w:spacing w:line="480" w:lineRule="auto" w:before="0" w:after="0"/>
        <w:jc w:val="left"/>
      </w:pPr>
      <w:r>
        <w:rPr>
          <w:rFonts w:ascii="Times New Roman" w:hAnsi="Times New Roman"/>
          <w:b/>
          <w:i w:val="0"/>
          <w:color w:val="000000"/>
          <w:sz w:val="24"/>
        </w:rPr>
        <w:t>2.2 Diagrama de Arquitectura</w:t>
      </w:r>
    </w:p>
    <w:p>
      <w:pPr>
        <w:spacing w:line="480" w:lineRule="auto" w:before="0" w:after="0"/>
        <w:ind w:firstLine="720"/>
        <w:jc w:val="left"/>
      </w:pPr>
      <w:r>
        <w:rPr>
          <w:rFonts w:ascii="Times New Roman" w:hAnsi="Times New Roman"/>
          <w:b w:val="0"/>
          <w:i w:val="0"/>
          <w:color w:val="000000"/>
          <w:sz w:val="24"/>
        </w:rPr>
        <w:t>La arquitectura sigue un patrón de microservicios con separación clara de responsabilidades. El frontend se distribuye globalmente vía Vercel CDN, reduciendo latencia. El API Gateway expone endpoints REST autenticados con JWT. PostgreSQL persiste datos académicos e institucionales. Hyperledger Fabric, desplegado en AKS con nodos ordenadores (orderer), peers y CA (Certificate Authority), registra transacciones de sílabos con no-repudio (Hyperledger Foundation, 2023).</w:t>
      </w:r>
    </w:p>
    <w:p>
      <w:pPr>
        <w:spacing w:line="480" w:lineRule="auto" w:before="0" w:after="0"/>
        <w:jc w:val="left"/>
      </w:pPr>
    </w:p>
    <w:p>
      <w:pPr>
        <w:spacing w:line="480" w:lineRule="auto" w:before="0" w:after="0"/>
        <w:ind w:firstLine="720"/>
        <w:jc w:val="left"/>
      </w:pPr>
      <w:r>
        <w:rPr>
          <w:rFonts w:ascii="Times New Roman" w:hAnsi="Times New Roman"/>
          <w:b w:val="0"/>
          <w:i w:val="0"/>
          <w:color w:val="000000"/>
          <w:sz w:val="24"/>
        </w:rPr>
        <w:t>[DIAGRAMA DE ARQUITECTURA — Visualización de capas, flujos de datos, y componentes]</w:t>
      </w:r>
    </w:p>
    <w:p>
      <w:pPr>
        <w:spacing w:line="480" w:lineRule="auto" w:before="0" w:after="0"/>
        <w:jc w:val="left"/>
      </w:pPr>
    </w:p>
    <w:p>
      <w:pPr>
        <w:spacing w:line="480" w:lineRule="auto" w:before="0" w:after="0"/>
        <w:jc w:val="center"/>
      </w:pPr>
      <w:r>
        <w:rPr>
          <w:rFonts w:ascii="Times New Roman" w:hAnsi="Times New Roman"/>
          <w:b/>
          <w:i w:val="0"/>
          <w:color w:val="000000"/>
          <w:sz w:val="24"/>
        </w:rPr>
        <w:t>3. Infrastructure as Code (IaC) y Despliegue Automatizado</w:t>
      </w:r>
    </w:p>
    <w:p>
      <w:pPr>
        <w:spacing w:line="480" w:lineRule="auto" w:before="0" w:after="0"/>
        <w:jc w:val="left"/>
      </w:pPr>
      <w:r>
        <w:rPr>
          <w:rFonts w:ascii="Times New Roman" w:hAnsi="Times New Roman"/>
          <w:b/>
          <w:i w:val="0"/>
          <w:color w:val="000000"/>
          <w:sz w:val="24"/>
        </w:rPr>
        <w:t>3.1 Terraform — Aprovisionamiento de Infraestructura</w:t>
      </w:r>
    </w:p>
    <w:p>
      <w:pPr>
        <w:spacing w:line="480" w:lineRule="auto" w:before="0" w:after="0"/>
        <w:ind w:firstLine="720"/>
        <w:jc w:val="left"/>
      </w:pPr>
      <w:r>
        <w:rPr>
          <w:rFonts w:ascii="Times New Roman" w:hAnsi="Times New Roman"/>
          <w:b w:val="0"/>
          <w:i w:val="0"/>
          <w:color w:val="000000"/>
          <w:sz w:val="24"/>
        </w:rPr>
        <w:t>La infraestructura de Azure se aprovisiona mediante Terraform 1.6, garantizando reproducibilidad y versionado. Los recursos principales (AKS, PostgreSQL, Redis, Storage Account, App Insights) se definen en archivos .tf versionados en Git. El despliegue se ejecuta automáticamente en CI/CD cuando se pushea a main (Hashicorp, 2024).</w:t>
      </w:r>
    </w:p>
    <w:p>
      <w:pPr>
        <w:spacing w:line="480" w:lineRule="auto"/>
        <w:jc w:val="center"/>
      </w:pPr>
      <w:r>
        <w:rPr>
          <w:rFonts w:ascii="Times New Roman" w:hAnsi="Times New Roman"/>
          <w:b w:val="0"/>
          <w:i w:val="0"/>
          <w:color w:val="000000"/>
          <w:sz w:val="24"/>
        </w:rPr>
        <w:t>Tabla 2</w:t>
      </w:r>
    </w:p>
    <w:p>
      <w:pPr>
        <w:spacing w:line="480" w:lineRule="auto"/>
        <w:jc w:val="left"/>
      </w:pPr>
      <w:r>
        <w:rPr>
          <w:rFonts w:ascii="Times New Roman" w:hAnsi="Times New Roman"/>
          <w:b w:val="0"/>
          <w:i/>
          <w:color w:val="000000"/>
          <w:sz w:val="24"/>
        </w:rPr>
        <w:t>Recursos Terraform Aprovisionados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0D0D0"/>
          </w:tcPr>
          <w:p>
            <w:pPr>
              <w:spacing w:before="40" w:after="40"/>
              <w:jc w:val="left"/>
            </w:pPr>
            <w:r/>
            <w:r>
              <w:rPr>
                <w:rFonts w:ascii="Times New Roman" w:hAnsi="Times New Roman"/>
                <w:b/>
                <w:color w:val="000000"/>
                <w:sz w:val="20"/>
              </w:rPr>
              <w:t>Recurso</w:t>
            </w:r>
          </w:p>
        </w:tc>
        <w:tc>
          <w:tcPr>
            <w:tcW w:type="dxa" w:w="2592"/>
            <w:shd w:val="clear" w:color="auto" w:fill="D0D0D0"/>
          </w:tcPr>
          <w:p>
            <w:pPr>
              <w:spacing w:before="40" w:after="40"/>
              <w:jc w:val="left"/>
            </w:pPr>
            <w:r/>
            <w:r>
              <w:rPr>
                <w:rFonts w:ascii="Times New Roman" w:hAnsi="Times New Roman"/>
                <w:b/>
                <w:color w:val="000000"/>
                <w:sz w:val="20"/>
              </w:rPr>
              <w:t>Tipo</w:t>
            </w:r>
          </w:p>
        </w:tc>
        <w:tc>
          <w:tcPr>
            <w:tcW w:type="dxa" w:w="1440"/>
            <w:shd w:val="clear" w:color="auto" w:fill="D0D0D0"/>
          </w:tcPr>
          <w:p>
            <w:pPr>
              <w:spacing w:before="40" w:after="40"/>
              <w:jc w:val="left"/>
            </w:pPr>
            <w:r/>
            <w:r>
              <w:rPr>
                <w:rFonts w:ascii="Times New Roman" w:hAnsi="Times New Roman"/>
                <w:b/>
                <w:color w:val="000000"/>
                <w:sz w:val="20"/>
              </w:rPr>
              <w:t>Cantidad</w:t>
            </w:r>
          </w:p>
        </w:tc>
        <w:tc>
          <w:tcPr>
            <w:tcW w:type="dxa" w:w="3312"/>
            <w:shd w:val="clear" w:color="auto" w:fill="D0D0D0"/>
          </w:tcPr>
          <w:p>
            <w:pPr>
              <w:spacing w:before="40" w:after="40"/>
              <w:jc w:val="left"/>
            </w:pPr>
            <w:r/>
            <w:r>
              <w:rPr>
                <w:rFonts w:ascii="Times New Roman" w:hAnsi="Times New Roman"/>
                <w:b/>
                <w:color w:val="000000"/>
                <w:sz w:val="20"/>
              </w:rPr>
              <w:t>Configuración</w:t>
            </w:r>
          </w:p>
        </w:tc>
      </w:tr>
      <w:tr>
        <w:tc>
          <w:tcPr>
            <w:tcW w:type="dxa" w:w="2304"/>
          </w:tcPr>
          <w:p>
            <w:pPr>
              <w:spacing w:before="40" w:after="40"/>
              <w:jc w:val="left"/>
            </w:pPr>
            <w:r/>
            <w:r>
              <w:rPr>
                <w:rFonts w:ascii="Times New Roman" w:hAnsi="Times New Roman"/>
                <w:b w:val="0"/>
                <w:color w:val="000000"/>
                <w:sz w:val="20"/>
              </w:rPr>
              <w:t>AKS Cluster</w:t>
            </w:r>
          </w:p>
        </w:tc>
        <w:tc>
          <w:tcPr>
            <w:tcW w:type="dxa" w:w="2592"/>
          </w:tcPr>
          <w:p>
            <w:pPr>
              <w:spacing w:before="40" w:after="40"/>
              <w:jc w:val="left"/>
            </w:pPr>
            <w:r/>
            <w:r>
              <w:rPr>
                <w:rFonts w:ascii="Times New Roman" w:hAnsi="Times New Roman"/>
                <w:b w:val="0"/>
                <w:color w:val="000000"/>
                <w:sz w:val="20"/>
              </w:rPr>
              <w:t>Azure Kubernetes Service</w:t>
            </w:r>
          </w:p>
        </w:tc>
        <w:tc>
          <w:tcPr>
            <w:tcW w:type="dxa" w:w="1440"/>
          </w:tcPr>
          <w:p>
            <w:pPr>
              <w:spacing w:before="40" w:after="40"/>
              <w:jc w:val="left"/>
            </w:pPr>
            <w:r/>
            <w:r>
              <w:rPr>
                <w:rFonts w:ascii="Times New Roman" w:hAnsi="Times New Roman"/>
                <w:b w:val="0"/>
                <w:color w:val="000000"/>
                <w:sz w:val="20"/>
              </w:rPr>
              <w:t>1</w:t>
            </w:r>
          </w:p>
        </w:tc>
        <w:tc>
          <w:tcPr>
            <w:tcW w:type="dxa" w:w="3312"/>
          </w:tcPr>
          <w:p>
            <w:pPr>
              <w:spacing w:before="40" w:after="40"/>
              <w:jc w:val="left"/>
            </w:pPr>
            <w:r/>
            <w:r>
              <w:rPr>
                <w:rFonts w:ascii="Times New Roman" w:hAnsi="Times New Roman"/>
                <w:b w:val="0"/>
                <w:color w:val="000000"/>
                <w:sz w:val="20"/>
              </w:rPr>
              <w:t>3 nodos Standard_D2s_v3, autoscaling 1–10 nodos</w:t>
            </w:r>
          </w:p>
        </w:tc>
      </w:tr>
      <w:tr>
        <w:tc>
          <w:tcPr>
            <w:tcW w:type="dxa" w:w="2304"/>
          </w:tcPr>
          <w:p>
            <w:pPr>
              <w:spacing w:before="40" w:after="40"/>
              <w:jc w:val="left"/>
            </w:pPr>
            <w:r/>
            <w:r>
              <w:rPr>
                <w:rFonts w:ascii="Times New Roman" w:hAnsi="Times New Roman"/>
                <w:b w:val="0"/>
                <w:color w:val="000000"/>
                <w:sz w:val="20"/>
              </w:rPr>
              <w:t>PostgreSQL Server</w:t>
            </w:r>
          </w:p>
        </w:tc>
        <w:tc>
          <w:tcPr>
            <w:tcW w:type="dxa" w:w="2592"/>
          </w:tcPr>
          <w:p>
            <w:pPr>
              <w:spacing w:before="40" w:after="40"/>
              <w:jc w:val="left"/>
            </w:pPr>
            <w:r/>
            <w:r>
              <w:rPr>
                <w:rFonts w:ascii="Times New Roman" w:hAnsi="Times New Roman"/>
                <w:b w:val="0"/>
                <w:color w:val="000000"/>
                <w:sz w:val="20"/>
              </w:rPr>
              <w:t>Azure Database for PostgreSQL</w:t>
            </w:r>
          </w:p>
        </w:tc>
        <w:tc>
          <w:tcPr>
            <w:tcW w:type="dxa" w:w="1440"/>
          </w:tcPr>
          <w:p>
            <w:pPr>
              <w:spacing w:before="40" w:after="40"/>
              <w:jc w:val="left"/>
            </w:pPr>
            <w:r/>
            <w:r>
              <w:rPr>
                <w:rFonts w:ascii="Times New Roman" w:hAnsi="Times New Roman"/>
                <w:b w:val="0"/>
                <w:color w:val="000000"/>
                <w:sz w:val="20"/>
              </w:rPr>
              <w:t>1</w:t>
            </w:r>
          </w:p>
        </w:tc>
        <w:tc>
          <w:tcPr>
            <w:tcW w:type="dxa" w:w="3312"/>
          </w:tcPr>
          <w:p>
            <w:pPr>
              <w:spacing w:before="40" w:after="40"/>
              <w:jc w:val="left"/>
            </w:pPr>
            <w:r/>
            <w:r>
              <w:rPr>
                <w:rFonts w:ascii="Times New Roman" w:hAnsi="Times New Roman"/>
                <w:b w:val="0"/>
                <w:color w:val="000000"/>
                <w:sz w:val="20"/>
              </w:rPr>
              <w:t>Sku: Standard_D2s_v3, 100 GB SSD</w:t>
            </w:r>
          </w:p>
        </w:tc>
      </w:tr>
      <w:tr>
        <w:tc>
          <w:tcPr>
            <w:tcW w:type="dxa" w:w="2304"/>
          </w:tcPr>
          <w:p>
            <w:pPr>
              <w:spacing w:before="40" w:after="40"/>
              <w:jc w:val="left"/>
            </w:pPr>
            <w:r/>
            <w:r>
              <w:rPr>
                <w:rFonts w:ascii="Times New Roman" w:hAnsi="Times New Roman"/>
                <w:b w:val="0"/>
                <w:color w:val="000000"/>
                <w:sz w:val="20"/>
              </w:rPr>
              <w:t>Redis Cache</w:t>
            </w:r>
          </w:p>
        </w:tc>
        <w:tc>
          <w:tcPr>
            <w:tcW w:type="dxa" w:w="2592"/>
          </w:tcPr>
          <w:p>
            <w:pPr>
              <w:spacing w:before="40" w:after="40"/>
              <w:jc w:val="left"/>
            </w:pPr>
            <w:r/>
            <w:r>
              <w:rPr>
                <w:rFonts w:ascii="Times New Roman" w:hAnsi="Times New Roman"/>
                <w:b w:val="0"/>
                <w:color w:val="000000"/>
                <w:sz w:val="20"/>
              </w:rPr>
              <w:t>Azure Cache for Redis</w:t>
            </w:r>
          </w:p>
        </w:tc>
        <w:tc>
          <w:tcPr>
            <w:tcW w:type="dxa" w:w="1440"/>
          </w:tcPr>
          <w:p>
            <w:pPr>
              <w:spacing w:before="40" w:after="40"/>
              <w:jc w:val="left"/>
            </w:pPr>
            <w:r/>
            <w:r>
              <w:rPr>
                <w:rFonts w:ascii="Times New Roman" w:hAnsi="Times New Roman"/>
                <w:b w:val="0"/>
                <w:color w:val="000000"/>
                <w:sz w:val="20"/>
              </w:rPr>
              <w:t>1</w:t>
            </w:r>
          </w:p>
        </w:tc>
        <w:tc>
          <w:tcPr>
            <w:tcW w:type="dxa" w:w="3312"/>
          </w:tcPr>
          <w:p>
            <w:pPr>
              <w:spacing w:before="40" w:after="40"/>
              <w:jc w:val="left"/>
            </w:pPr>
            <w:r/>
            <w:r>
              <w:rPr>
                <w:rFonts w:ascii="Times New Roman" w:hAnsi="Times New Roman"/>
                <w:b w:val="0"/>
                <w:color w:val="000000"/>
                <w:sz w:val="20"/>
              </w:rPr>
              <w:t>Premium SKU, 6 GB RAM, persistence enabled</w:t>
            </w:r>
          </w:p>
        </w:tc>
      </w:tr>
      <w:tr>
        <w:tc>
          <w:tcPr>
            <w:tcW w:type="dxa" w:w="2304"/>
          </w:tcPr>
          <w:p>
            <w:pPr>
              <w:spacing w:before="40" w:after="40"/>
              <w:jc w:val="left"/>
            </w:pPr>
            <w:r/>
            <w:r>
              <w:rPr>
                <w:rFonts w:ascii="Times New Roman" w:hAnsi="Times New Roman"/>
                <w:b w:val="0"/>
                <w:color w:val="000000"/>
                <w:sz w:val="20"/>
              </w:rPr>
              <w:t>Storage Account</w:t>
            </w:r>
          </w:p>
        </w:tc>
        <w:tc>
          <w:tcPr>
            <w:tcW w:type="dxa" w:w="2592"/>
          </w:tcPr>
          <w:p>
            <w:pPr>
              <w:spacing w:before="40" w:after="40"/>
              <w:jc w:val="left"/>
            </w:pPr>
            <w:r/>
            <w:r>
              <w:rPr>
                <w:rFonts w:ascii="Times New Roman" w:hAnsi="Times New Roman"/>
                <w:b w:val="0"/>
                <w:color w:val="000000"/>
                <w:sz w:val="20"/>
              </w:rPr>
              <w:t>Azure Blob Storage</w:t>
            </w:r>
          </w:p>
        </w:tc>
        <w:tc>
          <w:tcPr>
            <w:tcW w:type="dxa" w:w="1440"/>
          </w:tcPr>
          <w:p>
            <w:pPr>
              <w:spacing w:before="40" w:after="40"/>
              <w:jc w:val="left"/>
            </w:pPr>
            <w:r/>
            <w:r>
              <w:rPr>
                <w:rFonts w:ascii="Times New Roman" w:hAnsi="Times New Roman"/>
                <w:b w:val="0"/>
                <w:color w:val="000000"/>
                <w:sz w:val="20"/>
              </w:rPr>
              <w:t>1</w:t>
            </w:r>
          </w:p>
        </w:tc>
        <w:tc>
          <w:tcPr>
            <w:tcW w:type="dxa" w:w="3312"/>
          </w:tcPr>
          <w:p>
            <w:pPr>
              <w:spacing w:before="40" w:after="40"/>
              <w:jc w:val="left"/>
            </w:pPr>
            <w:r/>
            <w:r>
              <w:rPr>
                <w:rFonts w:ascii="Times New Roman" w:hAnsi="Times New Roman"/>
                <w:b w:val="0"/>
                <w:color w:val="000000"/>
                <w:sz w:val="20"/>
              </w:rPr>
              <w:t>Hot tier, replicación LRS</w:t>
            </w:r>
          </w:p>
        </w:tc>
      </w:tr>
      <w:tr>
        <w:tc>
          <w:tcPr>
            <w:tcW w:type="dxa" w:w="2304"/>
          </w:tcPr>
          <w:p>
            <w:pPr>
              <w:spacing w:before="40" w:after="40"/>
              <w:jc w:val="left"/>
            </w:pPr>
            <w:r/>
            <w:r>
              <w:rPr>
                <w:rFonts w:ascii="Times New Roman" w:hAnsi="Times New Roman"/>
                <w:b w:val="0"/>
                <w:color w:val="000000"/>
                <w:sz w:val="20"/>
              </w:rPr>
              <w:t>App Insights</w:t>
            </w:r>
          </w:p>
        </w:tc>
        <w:tc>
          <w:tcPr>
            <w:tcW w:type="dxa" w:w="2592"/>
          </w:tcPr>
          <w:p>
            <w:pPr>
              <w:spacing w:before="40" w:after="40"/>
              <w:jc w:val="left"/>
            </w:pPr>
            <w:r/>
            <w:r>
              <w:rPr>
                <w:rFonts w:ascii="Times New Roman" w:hAnsi="Times New Roman"/>
                <w:b w:val="0"/>
                <w:color w:val="000000"/>
                <w:sz w:val="20"/>
              </w:rPr>
              <w:t>Application Insights</w:t>
            </w:r>
          </w:p>
        </w:tc>
        <w:tc>
          <w:tcPr>
            <w:tcW w:type="dxa" w:w="1440"/>
          </w:tcPr>
          <w:p>
            <w:pPr>
              <w:spacing w:before="40" w:after="40"/>
              <w:jc w:val="left"/>
            </w:pPr>
            <w:r/>
            <w:r>
              <w:rPr>
                <w:rFonts w:ascii="Times New Roman" w:hAnsi="Times New Roman"/>
                <w:b w:val="0"/>
                <w:color w:val="000000"/>
                <w:sz w:val="20"/>
              </w:rPr>
              <w:t>1</w:t>
            </w:r>
          </w:p>
        </w:tc>
        <w:tc>
          <w:tcPr>
            <w:tcW w:type="dxa" w:w="3312"/>
          </w:tcPr>
          <w:p>
            <w:pPr>
              <w:spacing w:before="40" w:after="40"/>
              <w:jc w:val="left"/>
            </w:pPr>
            <w:r/>
            <w:r>
              <w:rPr>
                <w:rFonts w:ascii="Times New Roman" w:hAnsi="Times New Roman"/>
                <w:b w:val="0"/>
                <w:color w:val="000000"/>
                <w:sz w:val="20"/>
              </w:rPr>
              <w:t>Sampling 100%, retention 30 días</w:t>
            </w:r>
          </w:p>
        </w:tc>
      </w:tr>
    </w:tbl>
    <w:p>
      <w:pPr>
        <w:spacing w:line="480" w:lineRule="auto" w:before="0" w:after="0"/>
        <w:jc w:val="left"/>
      </w:pPr>
      <w:r>
        <w:rPr>
          <w:rFonts w:ascii="Times New Roman" w:hAnsi="Times New Roman"/>
          <w:b/>
          <w:i w:val="0"/>
          <w:color w:val="000000"/>
          <w:sz w:val="24"/>
        </w:rPr>
        <w:t>3.2 CI/CD — GitHub Actions</w:t>
      </w:r>
    </w:p>
    <w:p>
      <w:pPr>
        <w:spacing w:line="480" w:lineRule="auto" w:before="0" w:after="0"/>
        <w:ind w:firstLine="720"/>
        <w:jc w:val="left"/>
      </w:pPr>
      <w:r>
        <w:rPr>
          <w:rFonts w:ascii="Times New Roman" w:hAnsi="Times New Roman"/>
          <w:b w:val="0"/>
          <w:i w:val="0"/>
          <w:color w:val="000000"/>
          <w:sz w:val="24"/>
        </w:rPr>
        <w:t>La pipeline de despliegue se define en .github/workflows/deploy.yml. Los pasos incluyen: (1) Build de imagen Docker; (2) Push a Azure Container Registry; (3) Deploy a AKS con kubectl; (4) Verificación de salud; (5) Notificación al equipo. Cada push a main dispara automáticamente el workflow, permitiendo despliegues frecuentes y predecibles (Microsoft, 2024).</w:t>
      </w:r>
    </w:p>
    <w:p>
      <w:pPr>
        <w:spacing w:line="480" w:lineRule="auto"/>
        <w:jc w:val="center"/>
      </w:pPr>
      <w:r>
        <w:rPr>
          <w:rFonts w:ascii="Times New Roman" w:hAnsi="Times New Roman"/>
          <w:b w:val="0"/>
          <w:i w:val="0"/>
          <w:color w:val="000000"/>
          <w:sz w:val="24"/>
        </w:rPr>
        <w:t>Tabla 3</w:t>
      </w:r>
    </w:p>
    <w:p>
      <w:pPr>
        <w:spacing w:line="480" w:lineRule="auto"/>
        <w:jc w:val="left"/>
      </w:pPr>
      <w:r>
        <w:rPr>
          <w:rFonts w:ascii="Times New Roman" w:hAnsi="Times New Roman"/>
          <w:b w:val="0"/>
          <w:i/>
          <w:color w:val="000000"/>
          <w:sz w:val="24"/>
        </w:rPr>
        <w:t>Etapas del Pipeline CI/CD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0D0D0"/>
          </w:tcPr>
          <w:p>
            <w:pPr>
              <w:spacing w:before="40" w:after="40"/>
              <w:jc w:val="left"/>
            </w:pPr>
            <w:r/>
            <w:r>
              <w:rPr>
                <w:rFonts w:ascii="Times New Roman" w:hAnsi="Times New Roman"/>
                <w:b/>
                <w:color w:val="000000"/>
                <w:sz w:val="20"/>
              </w:rPr>
              <w:t>Etapa</w:t>
            </w:r>
          </w:p>
        </w:tc>
        <w:tc>
          <w:tcPr>
            <w:tcW w:type="dxa" w:w="2880"/>
            <w:shd w:val="clear" w:color="auto" w:fill="D0D0D0"/>
          </w:tcPr>
          <w:p>
            <w:pPr>
              <w:spacing w:before="40" w:after="40"/>
              <w:jc w:val="left"/>
            </w:pPr>
            <w:r/>
            <w:r>
              <w:rPr>
                <w:rFonts w:ascii="Times New Roman" w:hAnsi="Times New Roman"/>
                <w:b/>
                <w:color w:val="000000"/>
                <w:sz w:val="20"/>
              </w:rPr>
              <w:t>Acción</w:t>
            </w:r>
          </w:p>
        </w:tc>
        <w:tc>
          <w:tcPr>
            <w:tcW w:type="dxa" w:w="2160"/>
            <w:shd w:val="clear" w:color="auto" w:fill="D0D0D0"/>
          </w:tcPr>
          <w:p>
            <w:pPr>
              <w:spacing w:before="40" w:after="40"/>
              <w:jc w:val="left"/>
            </w:pPr>
            <w:r/>
            <w:r>
              <w:rPr>
                <w:rFonts w:ascii="Times New Roman" w:hAnsi="Times New Roman"/>
                <w:b/>
                <w:color w:val="000000"/>
                <w:sz w:val="20"/>
              </w:rPr>
              <w:t>Duración Estimada</w:t>
            </w:r>
          </w:p>
        </w:tc>
        <w:tc>
          <w:tcPr>
            <w:tcW w:type="dxa" w:w="2880"/>
            <w:shd w:val="clear" w:color="auto" w:fill="D0D0D0"/>
          </w:tcPr>
          <w:p>
            <w:pPr>
              <w:spacing w:before="40" w:after="40"/>
              <w:jc w:val="left"/>
            </w:pPr>
            <w:r/>
            <w:r>
              <w:rPr>
                <w:rFonts w:ascii="Times New Roman" w:hAnsi="Times New Roman"/>
                <w:b/>
                <w:color w:val="000000"/>
                <w:sz w:val="20"/>
              </w:rPr>
              <w:t>Criterio de Éxito</w:t>
            </w:r>
          </w:p>
        </w:tc>
      </w:tr>
      <w:tr>
        <w:tc>
          <w:tcPr>
            <w:tcW w:type="dxa" w:w="1728"/>
          </w:tcPr>
          <w:p>
            <w:pPr>
              <w:spacing w:before="40" w:after="40"/>
              <w:jc w:val="left"/>
            </w:pPr>
            <w:r/>
            <w:r>
              <w:rPr>
                <w:rFonts w:ascii="Times New Roman" w:hAnsi="Times New Roman"/>
                <w:b w:val="0"/>
                <w:color w:val="000000"/>
                <w:sz w:val="20"/>
              </w:rPr>
              <w:t>1. Checkout</w:t>
            </w:r>
          </w:p>
        </w:tc>
        <w:tc>
          <w:tcPr>
            <w:tcW w:type="dxa" w:w="2880"/>
          </w:tcPr>
          <w:p>
            <w:pPr>
              <w:spacing w:before="40" w:after="40"/>
              <w:jc w:val="left"/>
            </w:pPr>
            <w:r/>
            <w:r>
              <w:rPr>
                <w:rFonts w:ascii="Times New Roman" w:hAnsi="Times New Roman"/>
                <w:b w:val="0"/>
                <w:color w:val="000000"/>
                <w:sz w:val="20"/>
              </w:rPr>
              <w:t>git clone del repositorio</w:t>
            </w:r>
          </w:p>
        </w:tc>
        <w:tc>
          <w:tcPr>
            <w:tcW w:type="dxa" w:w="2160"/>
          </w:tcPr>
          <w:p>
            <w:pPr>
              <w:spacing w:before="40" w:after="40"/>
              <w:jc w:val="left"/>
            </w:pPr>
            <w:r/>
            <w:r>
              <w:rPr>
                <w:rFonts w:ascii="Times New Roman" w:hAnsi="Times New Roman"/>
                <w:b w:val="0"/>
                <w:color w:val="000000"/>
                <w:sz w:val="20"/>
              </w:rPr>
              <w:t>&lt; 30 s</w:t>
            </w:r>
          </w:p>
        </w:tc>
        <w:tc>
          <w:tcPr>
            <w:tcW w:type="dxa" w:w="2880"/>
          </w:tcPr>
          <w:p>
            <w:pPr>
              <w:spacing w:before="40" w:after="40"/>
              <w:jc w:val="left"/>
            </w:pPr>
            <w:r/>
            <w:r>
              <w:rPr>
                <w:rFonts w:ascii="Times New Roman" w:hAnsi="Times New Roman"/>
                <w:b w:val="0"/>
                <w:color w:val="000000"/>
                <w:sz w:val="20"/>
              </w:rPr>
              <w:t>Código disponible</w:t>
            </w:r>
          </w:p>
        </w:tc>
      </w:tr>
      <w:tr>
        <w:tc>
          <w:tcPr>
            <w:tcW w:type="dxa" w:w="1728"/>
          </w:tcPr>
          <w:p>
            <w:pPr>
              <w:spacing w:before="40" w:after="40"/>
              <w:jc w:val="left"/>
            </w:pPr>
            <w:r/>
            <w:r>
              <w:rPr>
                <w:rFonts w:ascii="Times New Roman" w:hAnsi="Times New Roman"/>
                <w:b w:val="0"/>
                <w:color w:val="000000"/>
                <w:sz w:val="20"/>
              </w:rPr>
              <w:t>2. Build</w:t>
            </w:r>
          </w:p>
        </w:tc>
        <w:tc>
          <w:tcPr>
            <w:tcW w:type="dxa" w:w="2880"/>
          </w:tcPr>
          <w:p>
            <w:pPr>
              <w:spacing w:before="40" w:after="40"/>
              <w:jc w:val="left"/>
            </w:pPr>
            <w:r/>
            <w:r>
              <w:rPr>
                <w:rFonts w:ascii="Times New Roman" w:hAnsi="Times New Roman"/>
                <w:b w:val="0"/>
                <w:color w:val="000000"/>
                <w:sz w:val="20"/>
              </w:rPr>
              <w:t>npm install &amp;&amp; npm run build</w:t>
            </w:r>
          </w:p>
        </w:tc>
        <w:tc>
          <w:tcPr>
            <w:tcW w:type="dxa" w:w="2160"/>
          </w:tcPr>
          <w:p>
            <w:pPr>
              <w:spacing w:before="40" w:after="40"/>
              <w:jc w:val="left"/>
            </w:pPr>
            <w:r/>
            <w:r>
              <w:rPr>
                <w:rFonts w:ascii="Times New Roman" w:hAnsi="Times New Roman"/>
                <w:b w:val="0"/>
                <w:color w:val="000000"/>
                <w:sz w:val="20"/>
              </w:rPr>
              <w:t>2–3 min</w:t>
            </w:r>
          </w:p>
        </w:tc>
        <w:tc>
          <w:tcPr>
            <w:tcW w:type="dxa" w:w="2880"/>
          </w:tcPr>
          <w:p>
            <w:pPr>
              <w:spacing w:before="40" w:after="40"/>
              <w:jc w:val="left"/>
            </w:pPr>
            <w:r/>
            <w:r>
              <w:rPr>
                <w:rFonts w:ascii="Times New Roman" w:hAnsi="Times New Roman"/>
                <w:b w:val="0"/>
                <w:color w:val="000000"/>
                <w:sz w:val="20"/>
              </w:rPr>
              <w:t>Build sin errores</w:t>
            </w:r>
          </w:p>
        </w:tc>
      </w:tr>
      <w:tr>
        <w:tc>
          <w:tcPr>
            <w:tcW w:type="dxa" w:w="1728"/>
          </w:tcPr>
          <w:p>
            <w:pPr>
              <w:spacing w:before="40" w:after="40"/>
              <w:jc w:val="left"/>
            </w:pPr>
            <w:r/>
            <w:r>
              <w:rPr>
                <w:rFonts w:ascii="Times New Roman" w:hAnsi="Times New Roman"/>
                <w:b w:val="0"/>
                <w:color w:val="000000"/>
                <w:sz w:val="20"/>
              </w:rPr>
              <w:t>3. Docker Build</w:t>
            </w:r>
          </w:p>
        </w:tc>
        <w:tc>
          <w:tcPr>
            <w:tcW w:type="dxa" w:w="2880"/>
          </w:tcPr>
          <w:p>
            <w:pPr>
              <w:spacing w:before="40" w:after="40"/>
              <w:jc w:val="left"/>
            </w:pPr>
            <w:r/>
            <w:r>
              <w:rPr>
                <w:rFonts w:ascii="Times New Roman" w:hAnsi="Times New Roman"/>
                <w:b w:val="0"/>
                <w:color w:val="000000"/>
                <w:sz w:val="20"/>
              </w:rPr>
              <w:t>docker build -t siladocs:latest</w:t>
            </w:r>
          </w:p>
        </w:tc>
        <w:tc>
          <w:tcPr>
            <w:tcW w:type="dxa" w:w="2160"/>
          </w:tcPr>
          <w:p>
            <w:pPr>
              <w:spacing w:before="40" w:after="40"/>
              <w:jc w:val="left"/>
            </w:pPr>
            <w:r/>
            <w:r>
              <w:rPr>
                <w:rFonts w:ascii="Times New Roman" w:hAnsi="Times New Roman"/>
                <w:b w:val="0"/>
                <w:color w:val="000000"/>
                <w:sz w:val="20"/>
              </w:rPr>
              <w:t>2–4 min</w:t>
            </w:r>
          </w:p>
        </w:tc>
        <w:tc>
          <w:tcPr>
            <w:tcW w:type="dxa" w:w="2880"/>
          </w:tcPr>
          <w:p>
            <w:pPr>
              <w:spacing w:before="40" w:after="40"/>
              <w:jc w:val="left"/>
            </w:pPr>
            <w:r/>
            <w:r>
              <w:rPr>
                <w:rFonts w:ascii="Times New Roman" w:hAnsi="Times New Roman"/>
                <w:b w:val="0"/>
                <w:color w:val="000000"/>
                <w:sz w:val="20"/>
              </w:rPr>
              <w:t>Imagen creada sin errores</w:t>
            </w:r>
          </w:p>
        </w:tc>
      </w:tr>
      <w:tr>
        <w:tc>
          <w:tcPr>
            <w:tcW w:type="dxa" w:w="1728"/>
          </w:tcPr>
          <w:p>
            <w:pPr>
              <w:spacing w:before="40" w:after="40"/>
              <w:jc w:val="left"/>
            </w:pPr>
            <w:r/>
            <w:r>
              <w:rPr>
                <w:rFonts w:ascii="Times New Roman" w:hAnsi="Times New Roman"/>
                <w:b w:val="0"/>
                <w:color w:val="000000"/>
                <w:sz w:val="20"/>
              </w:rPr>
              <w:t>4. Push ACR</w:t>
            </w:r>
          </w:p>
        </w:tc>
        <w:tc>
          <w:tcPr>
            <w:tcW w:type="dxa" w:w="2880"/>
          </w:tcPr>
          <w:p>
            <w:pPr>
              <w:spacing w:before="40" w:after="40"/>
              <w:jc w:val="left"/>
            </w:pPr>
            <w:r/>
            <w:r>
              <w:rPr>
                <w:rFonts w:ascii="Times New Roman" w:hAnsi="Times New Roman"/>
                <w:b w:val="0"/>
                <w:color w:val="000000"/>
                <w:sz w:val="20"/>
              </w:rPr>
              <w:t>Push a Azure Container Registry</w:t>
            </w:r>
          </w:p>
        </w:tc>
        <w:tc>
          <w:tcPr>
            <w:tcW w:type="dxa" w:w="2160"/>
          </w:tcPr>
          <w:p>
            <w:pPr>
              <w:spacing w:before="40" w:after="40"/>
              <w:jc w:val="left"/>
            </w:pPr>
            <w:r/>
            <w:r>
              <w:rPr>
                <w:rFonts w:ascii="Times New Roman" w:hAnsi="Times New Roman"/>
                <w:b w:val="0"/>
                <w:color w:val="000000"/>
                <w:sz w:val="20"/>
              </w:rPr>
              <w:t>1–2 min</w:t>
            </w:r>
          </w:p>
        </w:tc>
        <w:tc>
          <w:tcPr>
            <w:tcW w:type="dxa" w:w="2880"/>
          </w:tcPr>
          <w:p>
            <w:pPr>
              <w:spacing w:before="40" w:after="40"/>
              <w:jc w:val="left"/>
            </w:pPr>
            <w:r/>
            <w:r>
              <w:rPr>
                <w:rFonts w:ascii="Times New Roman" w:hAnsi="Times New Roman"/>
                <w:b w:val="0"/>
                <w:color w:val="000000"/>
                <w:sz w:val="20"/>
              </w:rPr>
              <w:t>Imagen en ACR</w:t>
            </w:r>
          </w:p>
        </w:tc>
      </w:tr>
      <w:tr>
        <w:tc>
          <w:tcPr>
            <w:tcW w:type="dxa" w:w="1728"/>
          </w:tcPr>
          <w:p>
            <w:pPr>
              <w:spacing w:before="40" w:after="40"/>
              <w:jc w:val="left"/>
            </w:pPr>
            <w:r/>
            <w:r>
              <w:rPr>
                <w:rFonts w:ascii="Times New Roman" w:hAnsi="Times New Roman"/>
                <w:b w:val="0"/>
                <w:color w:val="000000"/>
                <w:sz w:val="20"/>
              </w:rPr>
              <w:t>5. Deploy AKS</w:t>
            </w:r>
          </w:p>
        </w:tc>
        <w:tc>
          <w:tcPr>
            <w:tcW w:type="dxa" w:w="2880"/>
          </w:tcPr>
          <w:p>
            <w:pPr>
              <w:spacing w:before="40" w:after="40"/>
              <w:jc w:val="left"/>
            </w:pPr>
            <w:r/>
            <w:r>
              <w:rPr>
                <w:rFonts w:ascii="Times New Roman" w:hAnsi="Times New Roman"/>
                <w:b w:val="0"/>
                <w:color w:val="000000"/>
                <w:sz w:val="20"/>
              </w:rPr>
              <w:t>kubectl apply -f deployment.yaml</w:t>
            </w:r>
          </w:p>
        </w:tc>
        <w:tc>
          <w:tcPr>
            <w:tcW w:type="dxa" w:w="2160"/>
          </w:tcPr>
          <w:p>
            <w:pPr>
              <w:spacing w:before="40" w:after="40"/>
              <w:jc w:val="left"/>
            </w:pPr>
            <w:r/>
            <w:r>
              <w:rPr>
                <w:rFonts w:ascii="Times New Roman" w:hAnsi="Times New Roman"/>
                <w:b w:val="0"/>
                <w:color w:val="000000"/>
                <w:sz w:val="20"/>
              </w:rPr>
              <w:t>2–3 min</w:t>
            </w:r>
          </w:p>
        </w:tc>
        <w:tc>
          <w:tcPr>
            <w:tcW w:type="dxa" w:w="2880"/>
          </w:tcPr>
          <w:p>
            <w:pPr>
              <w:spacing w:before="40" w:after="40"/>
              <w:jc w:val="left"/>
            </w:pPr>
            <w:r/>
            <w:r>
              <w:rPr>
                <w:rFonts w:ascii="Times New Roman" w:hAnsi="Times New Roman"/>
                <w:b w:val="0"/>
                <w:color w:val="000000"/>
                <w:sz w:val="20"/>
              </w:rPr>
              <w:t>Pod running, healthy</w:t>
            </w:r>
          </w:p>
        </w:tc>
      </w:tr>
      <w:tr>
        <w:tc>
          <w:tcPr>
            <w:tcW w:type="dxa" w:w="1728"/>
          </w:tcPr>
          <w:p>
            <w:pPr>
              <w:spacing w:before="40" w:after="40"/>
              <w:jc w:val="left"/>
            </w:pPr>
            <w:r/>
            <w:r>
              <w:rPr>
                <w:rFonts w:ascii="Times New Roman" w:hAnsi="Times New Roman"/>
                <w:b w:val="0"/>
                <w:color w:val="000000"/>
                <w:sz w:val="20"/>
              </w:rPr>
              <w:t>6. Smoke Test</w:t>
            </w:r>
          </w:p>
        </w:tc>
        <w:tc>
          <w:tcPr>
            <w:tcW w:type="dxa" w:w="2880"/>
          </w:tcPr>
          <w:p>
            <w:pPr>
              <w:spacing w:before="40" w:after="40"/>
              <w:jc w:val="left"/>
            </w:pPr>
            <w:r/>
            <w:r>
              <w:rPr>
                <w:rFonts w:ascii="Times New Roman" w:hAnsi="Times New Roman"/>
                <w:b w:val="0"/>
                <w:color w:val="000000"/>
                <w:sz w:val="20"/>
              </w:rPr>
              <w:t>curl https://siladocs-frontend.vercel.app/health</w:t>
            </w:r>
          </w:p>
        </w:tc>
        <w:tc>
          <w:tcPr>
            <w:tcW w:type="dxa" w:w="2160"/>
          </w:tcPr>
          <w:p>
            <w:pPr>
              <w:spacing w:before="40" w:after="40"/>
              <w:jc w:val="left"/>
            </w:pPr>
            <w:r/>
            <w:r>
              <w:rPr>
                <w:rFonts w:ascii="Times New Roman" w:hAnsi="Times New Roman"/>
                <w:b w:val="0"/>
                <w:color w:val="000000"/>
                <w:sz w:val="20"/>
              </w:rPr>
              <w:t>&lt; 30 s</w:t>
            </w:r>
          </w:p>
        </w:tc>
        <w:tc>
          <w:tcPr>
            <w:tcW w:type="dxa" w:w="2880"/>
          </w:tcPr>
          <w:p>
            <w:pPr>
              <w:spacing w:before="40" w:after="40"/>
              <w:jc w:val="left"/>
            </w:pPr>
            <w:r/>
            <w:r>
              <w:rPr>
                <w:rFonts w:ascii="Times New Roman" w:hAnsi="Times New Roman"/>
                <w:b w:val="0"/>
                <w:color w:val="000000"/>
                <w:sz w:val="20"/>
              </w:rPr>
              <w:t>HTTP 200 OK</w:t>
            </w:r>
          </w:p>
        </w:tc>
      </w:tr>
    </w:tbl>
    <w:p>
      <w:pPr>
        <w:spacing w:line="480" w:lineRule="auto" w:before="0" w:after="0"/>
        <w:jc w:val="center"/>
      </w:pPr>
      <w:r>
        <w:rPr>
          <w:rFonts w:ascii="Times New Roman" w:hAnsi="Times New Roman"/>
          <w:b/>
          <w:i w:val="0"/>
          <w:color w:val="000000"/>
          <w:sz w:val="24"/>
        </w:rPr>
        <w:t>4. Service Level Objectives (SLOs) y Monitoreo</w:t>
      </w:r>
    </w:p>
    <w:p>
      <w:pPr>
        <w:spacing w:line="480" w:lineRule="auto" w:before="0" w:after="0"/>
        <w:ind w:firstLine="720"/>
        <w:jc w:val="left"/>
      </w:pPr>
      <w:r>
        <w:rPr>
          <w:rFonts w:ascii="Times New Roman" w:hAnsi="Times New Roman"/>
          <w:b w:val="0"/>
          <w:i w:val="0"/>
          <w:color w:val="000000"/>
          <w:sz w:val="24"/>
        </w:rPr>
        <w:t>SilaDocs define SLOs alineados con ISO/IEC 25010:2023 y best practices de operación en nube (Newman, 2019). Azure Monitor y Application Insights proporcionan observabilidad completa con alertas automáticas.</w:t>
      </w:r>
    </w:p>
    <w:p>
      <w:pPr>
        <w:spacing w:line="480" w:lineRule="auto" w:before="0" w:after="0"/>
        <w:jc w:val="left"/>
      </w:pPr>
    </w:p>
    <w:p>
      <w:pPr>
        <w:spacing w:line="480" w:lineRule="auto"/>
        <w:jc w:val="center"/>
      </w:pPr>
      <w:r>
        <w:rPr>
          <w:rFonts w:ascii="Times New Roman" w:hAnsi="Times New Roman"/>
          <w:b w:val="0"/>
          <w:i w:val="0"/>
          <w:color w:val="000000"/>
          <w:sz w:val="24"/>
        </w:rPr>
        <w:t>Tabla 4</w:t>
      </w:r>
    </w:p>
    <w:p>
      <w:pPr>
        <w:spacing w:line="480" w:lineRule="auto"/>
        <w:jc w:val="left"/>
      </w:pPr>
      <w:r>
        <w:rPr>
          <w:rFonts w:ascii="Times New Roman" w:hAnsi="Times New Roman"/>
          <w:b w:val="0"/>
          <w:i/>
          <w:color w:val="000000"/>
          <w:sz w:val="24"/>
        </w:rPr>
        <w:t>Service Level Objectives (SLOs) de SilaDocs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0D0D0"/>
          </w:tcPr>
          <w:p>
            <w:pPr>
              <w:spacing w:before="40" w:after="40"/>
              <w:jc w:val="left"/>
            </w:pPr>
            <w:r/>
            <w:r>
              <w:rPr>
                <w:rFonts w:ascii="Times New Roman" w:hAnsi="Times New Roman"/>
                <w:b/>
                <w:color w:val="000000"/>
                <w:sz w:val="20"/>
              </w:rPr>
              <w:t>Métrica</w:t>
            </w:r>
          </w:p>
        </w:tc>
        <w:tc>
          <w:tcPr>
            <w:tcW w:type="dxa" w:w="2592"/>
            <w:shd w:val="clear" w:color="auto" w:fill="D0D0D0"/>
          </w:tcPr>
          <w:p>
            <w:pPr>
              <w:spacing w:before="40" w:after="40"/>
              <w:jc w:val="left"/>
            </w:pPr>
            <w:r/>
            <w:r>
              <w:rPr>
                <w:rFonts w:ascii="Times New Roman" w:hAnsi="Times New Roman"/>
                <w:b/>
                <w:color w:val="000000"/>
                <w:sz w:val="20"/>
              </w:rPr>
              <w:t>SLO</w:t>
            </w:r>
          </w:p>
        </w:tc>
        <w:tc>
          <w:tcPr>
            <w:tcW w:type="dxa" w:w="2592"/>
            <w:shd w:val="clear" w:color="auto" w:fill="D0D0D0"/>
          </w:tcPr>
          <w:p>
            <w:pPr>
              <w:spacing w:before="40" w:after="40"/>
              <w:jc w:val="left"/>
            </w:pPr>
            <w:r/>
            <w:r>
              <w:rPr>
                <w:rFonts w:ascii="Times New Roman" w:hAnsi="Times New Roman"/>
                <w:b/>
                <w:color w:val="000000"/>
                <w:sz w:val="20"/>
              </w:rPr>
              <w:t>Herramienta de Monitoreo</w:t>
            </w:r>
          </w:p>
        </w:tc>
        <w:tc>
          <w:tcPr>
            <w:tcW w:type="dxa" w:w="2160"/>
            <w:shd w:val="clear" w:color="auto" w:fill="D0D0D0"/>
          </w:tcPr>
          <w:p>
            <w:pPr>
              <w:spacing w:before="40" w:after="40"/>
              <w:jc w:val="left"/>
            </w:pPr>
            <w:r/>
            <w:r>
              <w:rPr>
                <w:rFonts w:ascii="Times New Roman" w:hAnsi="Times New Roman"/>
                <w:b/>
                <w:color w:val="000000"/>
                <w:sz w:val="20"/>
              </w:rPr>
              <w:t>Alerta</w:t>
            </w:r>
          </w:p>
        </w:tc>
      </w:tr>
      <w:tr>
        <w:tc>
          <w:tcPr>
            <w:tcW w:type="dxa" w:w="2592"/>
          </w:tcPr>
          <w:p>
            <w:pPr>
              <w:spacing w:before="40" w:after="40"/>
              <w:jc w:val="left"/>
            </w:pPr>
            <w:r/>
            <w:r>
              <w:rPr>
                <w:rFonts w:ascii="Times New Roman" w:hAnsi="Times New Roman"/>
                <w:b w:val="0"/>
                <w:color w:val="000000"/>
                <w:sz w:val="20"/>
              </w:rPr>
              <w:t>Disponibilidad (Uptime)</w:t>
            </w:r>
          </w:p>
        </w:tc>
        <w:tc>
          <w:tcPr>
            <w:tcW w:type="dxa" w:w="2592"/>
          </w:tcPr>
          <w:p>
            <w:pPr>
              <w:spacing w:before="40" w:after="40"/>
              <w:jc w:val="left"/>
            </w:pPr>
            <w:r/>
            <w:r>
              <w:rPr>
                <w:rFonts w:ascii="Times New Roman" w:hAnsi="Times New Roman"/>
                <w:b w:val="0"/>
                <w:color w:val="000000"/>
                <w:sz w:val="20"/>
              </w:rPr>
              <w:t>≥ 99.5% / mes (máx 3.6 h indisponibilidad)</w:t>
            </w:r>
          </w:p>
        </w:tc>
        <w:tc>
          <w:tcPr>
            <w:tcW w:type="dxa" w:w="2592"/>
          </w:tcPr>
          <w:p>
            <w:pPr>
              <w:spacing w:before="40" w:after="40"/>
              <w:jc w:val="left"/>
            </w:pPr>
            <w:r/>
            <w:r>
              <w:rPr>
                <w:rFonts w:ascii="Times New Roman" w:hAnsi="Times New Roman"/>
                <w:b w:val="0"/>
                <w:color w:val="000000"/>
                <w:sz w:val="20"/>
              </w:rPr>
              <w:t>Azure Monitor</w:t>
            </w:r>
          </w:p>
        </w:tc>
        <w:tc>
          <w:tcPr>
            <w:tcW w:type="dxa" w:w="2160"/>
          </w:tcPr>
          <w:p>
            <w:pPr>
              <w:spacing w:before="40" w:after="40"/>
              <w:jc w:val="left"/>
            </w:pPr>
            <w:r/>
            <w:r>
              <w:rPr>
                <w:rFonts w:ascii="Times New Roman" w:hAnsi="Times New Roman"/>
                <w:b w:val="0"/>
                <w:color w:val="000000"/>
                <w:sz w:val="20"/>
              </w:rPr>
              <w:t>Si &lt; 99.5%</w:t>
            </w:r>
          </w:p>
        </w:tc>
      </w:tr>
      <w:tr>
        <w:tc>
          <w:tcPr>
            <w:tcW w:type="dxa" w:w="2592"/>
          </w:tcPr>
          <w:p>
            <w:pPr>
              <w:spacing w:before="40" w:after="40"/>
              <w:jc w:val="left"/>
            </w:pPr>
            <w:r/>
            <w:r>
              <w:rPr>
                <w:rFonts w:ascii="Times New Roman" w:hAnsi="Times New Roman"/>
                <w:b w:val="0"/>
                <w:color w:val="000000"/>
                <w:sz w:val="20"/>
              </w:rPr>
              <w:t>Latencia p95</w:t>
            </w:r>
          </w:p>
        </w:tc>
        <w:tc>
          <w:tcPr>
            <w:tcW w:type="dxa" w:w="2592"/>
          </w:tcPr>
          <w:p>
            <w:pPr>
              <w:spacing w:before="40" w:after="40"/>
              <w:jc w:val="left"/>
            </w:pPr>
            <w:r/>
            <w:r>
              <w:rPr>
                <w:rFonts w:ascii="Times New Roman" w:hAnsi="Times New Roman"/>
                <w:b w:val="0"/>
                <w:color w:val="000000"/>
                <w:sz w:val="20"/>
              </w:rPr>
              <w:t>&lt; 2,000 ms bajo 500 usuarios</w:t>
            </w:r>
          </w:p>
        </w:tc>
        <w:tc>
          <w:tcPr>
            <w:tcW w:type="dxa" w:w="2592"/>
          </w:tcPr>
          <w:p>
            <w:pPr>
              <w:spacing w:before="40" w:after="40"/>
              <w:jc w:val="left"/>
            </w:pPr>
            <w:r/>
            <w:r>
              <w:rPr>
                <w:rFonts w:ascii="Times New Roman" w:hAnsi="Times New Roman"/>
                <w:b w:val="0"/>
                <w:color w:val="000000"/>
                <w:sz w:val="20"/>
              </w:rPr>
              <w:t>App Insights</w:t>
            </w:r>
          </w:p>
        </w:tc>
        <w:tc>
          <w:tcPr>
            <w:tcW w:type="dxa" w:w="2160"/>
          </w:tcPr>
          <w:p>
            <w:pPr>
              <w:spacing w:before="40" w:after="40"/>
              <w:jc w:val="left"/>
            </w:pPr>
            <w:r/>
            <w:r>
              <w:rPr>
                <w:rFonts w:ascii="Times New Roman" w:hAnsi="Times New Roman"/>
                <w:b w:val="0"/>
                <w:color w:val="000000"/>
                <w:sz w:val="20"/>
              </w:rPr>
              <w:t>Si p95 &gt; 3,000 ms</w:t>
            </w:r>
          </w:p>
        </w:tc>
      </w:tr>
      <w:tr>
        <w:tc>
          <w:tcPr>
            <w:tcW w:type="dxa" w:w="2592"/>
          </w:tcPr>
          <w:p>
            <w:pPr>
              <w:spacing w:before="40" w:after="40"/>
              <w:jc w:val="left"/>
            </w:pPr>
            <w:r/>
            <w:r>
              <w:rPr>
                <w:rFonts w:ascii="Times New Roman" w:hAnsi="Times New Roman"/>
                <w:b w:val="0"/>
                <w:color w:val="000000"/>
                <w:sz w:val="20"/>
              </w:rPr>
              <w:t>Latencia p99</w:t>
            </w:r>
          </w:p>
        </w:tc>
        <w:tc>
          <w:tcPr>
            <w:tcW w:type="dxa" w:w="2592"/>
          </w:tcPr>
          <w:p>
            <w:pPr>
              <w:spacing w:before="40" w:after="40"/>
              <w:jc w:val="left"/>
            </w:pPr>
            <w:r/>
            <w:r>
              <w:rPr>
                <w:rFonts w:ascii="Times New Roman" w:hAnsi="Times New Roman"/>
                <w:b w:val="0"/>
                <w:color w:val="000000"/>
                <w:sz w:val="20"/>
              </w:rPr>
              <w:t>&lt; 4,000 ms bajo 500 usuarios</w:t>
            </w:r>
          </w:p>
        </w:tc>
        <w:tc>
          <w:tcPr>
            <w:tcW w:type="dxa" w:w="2592"/>
          </w:tcPr>
          <w:p>
            <w:pPr>
              <w:spacing w:before="40" w:after="40"/>
              <w:jc w:val="left"/>
            </w:pPr>
            <w:r/>
            <w:r>
              <w:rPr>
                <w:rFonts w:ascii="Times New Roman" w:hAnsi="Times New Roman"/>
                <w:b w:val="0"/>
                <w:color w:val="000000"/>
                <w:sz w:val="20"/>
              </w:rPr>
              <w:t>App Insights</w:t>
            </w:r>
          </w:p>
        </w:tc>
        <w:tc>
          <w:tcPr>
            <w:tcW w:type="dxa" w:w="2160"/>
          </w:tcPr>
          <w:p>
            <w:pPr>
              <w:spacing w:before="40" w:after="40"/>
              <w:jc w:val="left"/>
            </w:pPr>
            <w:r/>
            <w:r>
              <w:rPr>
                <w:rFonts w:ascii="Times New Roman" w:hAnsi="Times New Roman"/>
                <w:b w:val="0"/>
                <w:color w:val="000000"/>
                <w:sz w:val="20"/>
              </w:rPr>
              <w:t>Si p99 &gt; 5,000 ms</w:t>
            </w:r>
          </w:p>
        </w:tc>
      </w:tr>
      <w:tr>
        <w:tc>
          <w:tcPr>
            <w:tcW w:type="dxa" w:w="2592"/>
          </w:tcPr>
          <w:p>
            <w:pPr>
              <w:spacing w:before="40" w:after="40"/>
              <w:jc w:val="left"/>
            </w:pPr>
            <w:r/>
            <w:r>
              <w:rPr>
                <w:rFonts w:ascii="Times New Roman" w:hAnsi="Times New Roman"/>
                <w:b w:val="0"/>
                <w:color w:val="000000"/>
                <w:sz w:val="20"/>
              </w:rPr>
              <w:t>Tasa de error (5xx)</w:t>
            </w:r>
          </w:p>
        </w:tc>
        <w:tc>
          <w:tcPr>
            <w:tcW w:type="dxa" w:w="2592"/>
          </w:tcPr>
          <w:p>
            <w:pPr>
              <w:spacing w:before="40" w:after="40"/>
              <w:jc w:val="left"/>
            </w:pPr>
            <w:r/>
            <w:r>
              <w:rPr>
                <w:rFonts w:ascii="Times New Roman" w:hAnsi="Times New Roman"/>
                <w:b w:val="0"/>
                <w:color w:val="000000"/>
                <w:sz w:val="20"/>
              </w:rPr>
              <w:t>&lt; 0.1% de requests</w:t>
            </w:r>
          </w:p>
        </w:tc>
        <w:tc>
          <w:tcPr>
            <w:tcW w:type="dxa" w:w="2592"/>
          </w:tcPr>
          <w:p>
            <w:pPr>
              <w:spacing w:before="40" w:after="40"/>
              <w:jc w:val="left"/>
            </w:pPr>
            <w:r/>
            <w:r>
              <w:rPr>
                <w:rFonts w:ascii="Times New Roman" w:hAnsi="Times New Roman"/>
                <w:b w:val="0"/>
                <w:color w:val="000000"/>
                <w:sz w:val="20"/>
              </w:rPr>
              <w:t>App Insights</w:t>
            </w:r>
          </w:p>
        </w:tc>
        <w:tc>
          <w:tcPr>
            <w:tcW w:type="dxa" w:w="2160"/>
          </w:tcPr>
          <w:p>
            <w:pPr>
              <w:spacing w:before="40" w:after="40"/>
              <w:jc w:val="left"/>
            </w:pPr>
            <w:r/>
            <w:r>
              <w:rPr>
                <w:rFonts w:ascii="Times New Roman" w:hAnsi="Times New Roman"/>
                <w:b w:val="0"/>
                <w:color w:val="000000"/>
                <w:sz w:val="20"/>
              </w:rPr>
              <w:t>Si &gt; 0.2%</w:t>
            </w:r>
          </w:p>
        </w:tc>
      </w:tr>
      <w:tr>
        <w:tc>
          <w:tcPr>
            <w:tcW w:type="dxa" w:w="2592"/>
          </w:tcPr>
          <w:p>
            <w:pPr>
              <w:spacing w:before="40" w:after="40"/>
              <w:jc w:val="left"/>
            </w:pPr>
            <w:r/>
            <w:r>
              <w:rPr>
                <w:rFonts w:ascii="Times New Roman" w:hAnsi="Times New Roman"/>
                <w:b w:val="0"/>
                <w:color w:val="000000"/>
                <w:sz w:val="20"/>
              </w:rPr>
              <w:t>Tiempo de recuperación (MTTR)</w:t>
            </w:r>
          </w:p>
        </w:tc>
        <w:tc>
          <w:tcPr>
            <w:tcW w:type="dxa" w:w="2592"/>
          </w:tcPr>
          <w:p>
            <w:pPr>
              <w:spacing w:before="40" w:after="40"/>
              <w:jc w:val="left"/>
            </w:pPr>
            <w:r/>
            <w:r>
              <w:rPr>
                <w:rFonts w:ascii="Times New Roman" w:hAnsi="Times New Roman"/>
                <w:b w:val="0"/>
                <w:color w:val="000000"/>
                <w:sz w:val="20"/>
              </w:rPr>
              <w:t>&lt; 1 hora ante incidente P1</w:t>
            </w:r>
          </w:p>
        </w:tc>
        <w:tc>
          <w:tcPr>
            <w:tcW w:type="dxa" w:w="2592"/>
          </w:tcPr>
          <w:p>
            <w:pPr>
              <w:spacing w:before="40" w:after="40"/>
              <w:jc w:val="left"/>
            </w:pPr>
            <w:r/>
            <w:r>
              <w:rPr>
                <w:rFonts w:ascii="Times New Roman" w:hAnsi="Times New Roman"/>
                <w:b w:val="0"/>
                <w:color w:val="000000"/>
                <w:sz w:val="20"/>
              </w:rPr>
              <w:t>PagerDuty</w:t>
            </w:r>
          </w:p>
        </w:tc>
        <w:tc>
          <w:tcPr>
            <w:tcW w:type="dxa" w:w="2160"/>
          </w:tcPr>
          <w:p>
            <w:pPr>
              <w:spacing w:before="40" w:after="40"/>
              <w:jc w:val="left"/>
            </w:pPr>
            <w:r/>
            <w:r>
              <w:rPr>
                <w:rFonts w:ascii="Times New Roman" w:hAnsi="Times New Roman"/>
                <w:b w:val="0"/>
                <w:color w:val="000000"/>
                <w:sz w:val="20"/>
              </w:rPr>
              <w:t>Alertas en tiempo real</w:t>
            </w:r>
          </w:p>
        </w:tc>
      </w:tr>
    </w:tbl>
    <w:p>
      <w:pPr>
        <w:spacing w:line="480" w:lineRule="auto" w:before="0" w:after="0"/>
        <w:jc w:val="center"/>
      </w:pPr>
      <w:r>
        <w:rPr>
          <w:rFonts w:ascii="Times New Roman" w:hAnsi="Times New Roman"/>
          <w:b/>
          <w:i w:val="0"/>
          <w:color w:val="000000"/>
          <w:sz w:val="24"/>
        </w:rPr>
        <w:t>5. Procedimiento Paso a Paso de Despliegue</w:t>
      </w:r>
    </w:p>
    <w:p>
      <w:pPr>
        <w:spacing w:line="480" w:lineRule="auto" w:before="0" w:after="0"/>
        <w:ind w:firstLine="720"/>
        <w:jc w:val="left"/>
      </w:pPr>
      <w:r>
        <w:rPr>
          <w:rFonts w:ascii="Times New Roman" w:hAnsi="Times New Roman"/>
          <w:b w:val="0"/>
          <w:i w:val="0"/>
          <w:color w:val="000000"/>
          <w:sz w:val="24"/>
        </w:rPr>
        <w:t>A continuación se detalla el procedimiento operacional para desplegar una nueva versión de SilaDocs en producción.</w:t>
      </w:r>
    </w:p>
    <w:p>
      <w:pPr>
        <w:spacing w:line="480" w:lineRule="auto"/>
        <w:ind w:left="720"/>
      </w:pPr>
      <w:r>
        <w:rPr>
          <w:rFonts w:ascii="Times New Roman" w:hAnsi="Times New Roman"/>
          <w:b/>
          <w:i w:val="0"/>
          <w:color w:val="000000"/>
          <w:sz w:val="24"/>
        </w:rPr>
        <w:t xml:space="preserve">1. Preparación de la rama de código. </w:t>
      </w:r>
      <w:r>
        <w:rPr>
          <w:rFonts w:ascii="Times New Roman" w:hAnsi="Times New Roman"/>
          <w:b w:val="0"/>
          <w:i w:val="0"/>
          <w:color w:val="000000"/>
          <w:sz w:val="24"/>
        </w:rPr>
        <w:t>El desarrollador crea una rama feature/ desde main, realiza cambios y ejecuta npm run build &amp;&amp; npm run lint para validar código localmente.</w:t>
      </w:r>
    </w:p>
    <w:p>
      <w:pPr>
        <w:spacing w:line="480" w:lineRule="auto"/>
        <w:ind w:left="720"/>
      </w:pPr>
      <w:r>
        <w:rPr>
          <w:rFonts w:ascii="Times New Roman" w:hAnsi="Times New Roman"/>
          <w:b/>
          <w:i w:val="0"/>
          <w:color w:val="000000"/>
          <w:sz w:val="24"/>
        </w:rPr>
        <w:t xml:space="preserve">2. Pull Request y revisión de código. </w:t>
      </w:r>
      <w:r>
        <w:rPr>
          <w:rFonts w:ascii="Times New Roman" w:hAnsi="Times New Roman"/>
          <w:b w:val="0"/>
          <w:i w:val="0"/>
          <w:color w:val="000000"/>
          <w:sz w:val="24"/>
        </w:rPr>
        <w:t>Se crea un PR contra main; dos revisores aprueban los cambios.</w:t>
      </w:r>
    </w:p>
    <w:p>
      <w:pPr>
        <w:spacing w:line="480" w:lineRule="auto"/>
        <w:ind w:left="720"/>
      </w:pPr>
      <w:r>
        <w:rPr>
          <w:rFonts w:ascii="Times New Roman" w:hAnsi="Times New Roman"/>
          <w:b/>
          <w:i w:val="0"/>
          <w:color w:val="000000"/>
          <w:sz w:val="24"/>
        </w:rPr>
        <w:t xml:space="preserve">3. Trigger automático de CI/CD. </w:t>
      </w:r>
      <w:r>
        <w:rPr>
          <w:rFonts w:ascii="Times New Roman" w:hAnsi="Times New Roman"/>
          <w:b w:val="0"/>
          <w:i w:val="0"/>
          <w:color w:val="000000"/>
          <w:sz w:val="24"/>
        </w:rPr>
        <w:t>Merge a main dispara automáticamente el workflow deploy.yml en GitHub Actions.</w:t>
      </w:r>
    </w:p>
    <w:p>
      <w:pPr>
        <w:spacing w:line="480" w:lineRule="auto"/>
        <w:ind w:left="720"/>
      </w:pPr>
      <w:r>
        <w:rPr>
          <w:rFonts w:ascii="Times New Roman" w:hAnsi="Times New Roman"/>
          <w:b/>
          <w:i w:val="0"/>
          <w:color w:val="000000"/>
          <w:sz w:val="24"/>
        </w:rPr>
        <w:t xml:space="preserve">4. Build y test. </w:t>
      </w:r>
      <w:r>
        <w:rPr>
          <w:rFonts w:ascii="Times New Roman" w:hAnsi="Times New Roman"/>
          <w:b w:val="0"/>
          <w:i w:val="0"/>
          <w:color w:val="000000"/>
          <w:sz w:val="24"/>
        </w:rPr>
        <w:t>Se ejecutan npm test, npm run build y auditoría de seguridad npm audit.</w:t>
      </w:r>
    </w:p>
    <w:p>
      <w:pPr>
        <w:spacing w:line="480" w:lineRule="auto"/>
        <w:ind w:left="720"/>
      </w:pPr>
      <w:r>
        <w:rPr>
          <w:rFonts w:ascii="Times New Roman" w:hAnsi="Times New Roman"/>
          <w:b/>
          <w:i w:val="0"/>
          <w:color w:val="000000"/>
          <w:sz w:val="24"/>
        </w:rPr>
        <w:t xml:space="preserve">5. Push de imagen a ACR. </w:t>
      </w:r>
      <w:r>
        <w:rPr>
          <w:rFonts w:ascii="Times New Roman" w:hAnsi="Times New Roman"/>
          <w:b w:val="0"/>
          <w:i w:val="0"/>
          <w:color w:val="000000"/>
          <w:sz w:val="24"/>
        </w:rPr>
        <w:t>La imagen Docker se empaqueta y pushea a Azure Container Registry.</w:t>
      </w:r>
    </w:p>
    <w:p>
      <w:pPr>
        <w:spacing w:line="480" w:lineRule="auto"/>
        <w:ind w:left="720"/>
      </w:pPr>
      <w:r>
        <w:rPr>
          <w:rFonts w:ascii="Times New Roman" w:hAnsi="Times New Roman"/>
          <w:b/>
          <w:i w:val="0"/>
          <w:color w:val="000000"/>
          <w:sz w:val="24"/>
        </w:rPr>
        <w:t xml:space="preserve">6. Deploy a AKS. </w:t>
      </w:r>
      <w:r>
        <w:rPr>
          <w:rFonts w:ascii="Times New Roman" w:hAnsi="Times New Roman"/>
          <w:b w:val="0"/>
          <w:i w:val="0"/>
          <w:color w:val="000000"/>
          <w:sz w:val="24"/>
        </w:rPr>
        <w:t>kubectl aplica el manifest deployment.yaml que actualiza los pods en el cluster.</w:t>
      </w:r>
    </w:p>
    <w:p>
      <w:pPr>
        <w:spacing w:line="480" w:lineRule="auto"/>
        <w:ind w:left="720"/>
      </w:pPr>
      <w:r>
        <w:rPr>
          <w:rFonts w:ascii="Times New Roman" w:hAnsi="Times New Roman"/>
          <w:b/>
          <w:i w:val="0"/>
          <w:color w:val="000000"/>
          <w:sz w:val="24"/>
        </w:rPr>
        <w:t xml:space="preserve">7. Smoke test. </w:t>
      </w:r>
      <w:r>
        <w:rPr>
          <w:rFonts w:ascii="Times New Roman" w:hAnsi="Times New Roman"/>
          <w:b w:val="0"/>
          <w:i w:val="0"/>
          <w:color w:val="000000"/>
          <w:sz w:val="24"/>
        </w:rPr>
        <w:t>Se verifica que https://siladocs-frontend.vercel.app/health retorne HTTP 200.</w:t>
      </w:r>
    </w:p>
    <w:p>
      <w:pPr>
        <w:spacing w:line="480" w:lineRule="auto"/>
        <w:ind w:left="720"/>
      </w:pPr>
      <w:r>
        <w:rPr>
          <w:rFonts w:ascii="Times New Roman" w:hAnsi="Times New Roman"/>
          <w:b/>
          <w:i w:val="0"/>
          <w:color w:val="000000"/>
          <w:sz w:val="24"/>
        </w:rPr>
        <w:t xml:space="preserve">8. Monitoreo post-despliegue. </w:t>
      </w:r>
      <w:r>
        <w:rPr>
          <w:rFonts w:ascii="Times New Roman" w:hAnsi="Times New Roman"/>
          <w:b w:val="0"/>
          <w:i w:val="0"/>
          <w:color w:val="000000"/>
          <w:sz w:val="24"/>
        </w:rPr>
        <w:t>Por 30 minutos se monitorean métricas de error rate, latencia y disponibilidad. Si alguna excede SLO, se ejecuta rollback automático a la versión anterior.</w:t>
      </w:r>
    </w:p>
    <w:p>
      <w:r>
        <w:br w:type="page"/>
      </w:r>
    </w:p>
    <w:p>
      <w:pPr>
        <w:spacing w:line="480" w:lineRule="auto" w:before="0" w:after="0"/>
        <w:jc w:val="center"/>
      </w:pPr>
      <w:r>
        <w:rPr>
          <w:rFonts w:ascii="Times New Roman" w:hAnsi="Times New Roman"/>
          <w:b/>
          <w:i w:val="0"/>
          <w:color w:val="000000"/>
          <w:sz w:val="24"/>
        </w:rPr>
        <w:t>6. Configuración de Producción</w:t>
      </w:r>
    </w:p>
    <w:p>
      <w:pPr>
        <w:spacing w:line="480" w:lineRule="auto" w:before="0" w:after="0"/>
        <w:ind w:firstLine="720"/>
        <w:jc w:val="left"/>
      </w:pPr>
      <w:r>
        <w:rPr>
          <w:rFonts w:ascii="Times New Roman" w:hAnsi="Times New Roman"/>
          <w:b w:val="0"/>
          <w:i w:val="0"/>
          <w:color w:val="000000"/>
          <w:sz w:val="24"/>
        </w:rPr>
        <w:t>Las variables de entorno críticas se almacenan en Azure Key Vault, no en repositorio. La Tabla 5 enumera las variables de configuración principales.</w:t>
      </w:r>
    </w:p>
    <w:p>
      <w:pPr>
        <w:spacing w:line="480" w:lineRule="auto" w:before="0" w:after="0"/>
        <w:jc w:val="left"/>
      </w:pPr>
    </w:p>
    <w:p>
      <w:pPr>
        <w:spacing w:line="480" w:lineRule="auto"/>
        <w:jc w:val="center"/>
      </w:pPr>
      <w:r>
        <w:rPr>
          <w:rFonts w:ascii="Times New Roman" w:hAnsi="Times New Roman"/>
          <w:b w:val="0"/>
          <w:i w:val="0"/>
          <w:color w:val="000000"/>
          <w:sz w:val="24"/>
        </w:rPr>
        <w:t>Tabla 5</w:t>
      </w:r>
    </w:p>
    <w:p>
      <w:pPr>
        <w:spacing w:line="480" w:lineRule="auto"/>
        <w:jc w:val="left"/>
      </w:pPr>
      <w:r>
        <w:rPr>
          <w:rFonts w:ascii="Times New Roman" w:hAnsi="Times New Roman"/>
          <w:b w:val="0"/>
          <w:i/>
          <w:color w:val="000000"/>
          <w:sz w:val="24"/>
        </w:rPr>
        <w:t>Variables de Entorno de Producción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0D0D0"/>
          </w:tcPr>
          <w:p>
            <w:pPr>
              <w:spacing w:before="40" w:after="40"/>
              <w:jc w:val="left"/>
            </w:pPr>
            <w:r/>
            <w:r>
              <w:rPr>
                <w:rFonts w:ascii="Times New Roman" w:hAnsi="Times New Roman"/>
                <w:b/>
                <w:color w:val="000000"/>
                <w:sz w:val="20"/>
              </w:rPr>
              <w:t>Variable</w:t>
            </w:r>
          </w:p>
        </w:tc>
        <w:tc>
          <w:tcPr>
            <w:tcW w:type="dxa" w:w="3600"/>
            <w:shd w:val="clear" w:color="auto" w:fill="D0D0D0"/>
          </w:tcPr>
          <w:p>
            <w:pPr>
              <w:spacing w:before="40" w:after="40"/>
              <w:jc w:val="left"/>
            </w:pPr>
            <w:r/>
            <w:r>
              <w:rPr>
                <w:rFonts w:ascii="Times New Roman" w:hAnsi="Times New Roman"/>
                <w:b/>
                <w:color w:val="000000"/>
                <w:sz w:val="20"/>
              </w:rPr>
              <w:t>Valor Ejemplo</w:t>
            </w:r>
          </w:p>
        </w:tc>
        <w:tc>
          <w:tcPr>
            <w:tcW w:type="dxa" w:w="2736"/>
            <w:shd w:val="clear" w:color="auto" w:fill="D0D0D0"/>
          </w:tcPr>
          <w:p>
            <w:pPr>
              <w:spacing w:before="40" w:after="40"/>
              <w:jc w:val="left"/>
            </w:pPr>
            <w:r/>
            <w:r>
              <w:rPr>
                <w:rFonts w:ascii="Times New Roman" w:hAnsi="Times New Roman"/>
                <w:b/>
                <w:color w:val="000000"/>
                <w:sz w:val="20"/>
              </w:rPr>
              <w:t>Alcance</w:t>
            </w:r>
          </w:p>
        </w:tc>
      </w:tr>
      <w:tr>
        <w:tc>
          <w:tcPr>
            <w:tcW w:type="dxa" w:w="2880"/>
          </w:tcPr>
          <w:p>
            <w:pPr>
              <w:spacing w:before="40" w:after="40"/>
              <w:jc w:val="left"/>
            </w:pPr>
            <w:r/>
            <w:r>
              <w:rPr>
                <w:rFonts w:ascii="Times New Roman" w:hAnsi="Times New Roman"/>
                <w:b w:val="0"/>
                <w:color w:val="000000"/>
                <w:sz w:val="20"/>
              </w:rPr>
              <w:t>NEXT_PUBLIC_API_URL</w:t>
            </w:r>
          </w:p>
        </w:tc>
        <w:tc>
          <w:tcPr>
            <w:tcW w:type="dxa" w:w="3600"/>
          </w:tcPr>
          <w:p>
            <w:pPr>
              <w:spacing w:before="40" w:after="40"/>
              <w:jc w:val="left"/>
            </w:pPr>
            <w:r/>
            <w:r>
              <w:rPr>
                <w:rFonts w:ascii="Times New Roman" w:hAnsi="Times New Roman"/>
                <w:b w:val="0"/>
                <w:color w:val="000000"/>
                <w:sz w:val="20"/>
              </w:rPr>
              <w:t>https://api.siladocs.com</w:t>
            </w:r>
          </w:p>
        </w:tc>
        <w:tc>
          <w:tcPr>
            <w:tcW w:type="dxa" w:w="2736"/>
          </w:tcPr>
          <w:p>
            <w:pPr>
              <w:spacing w:before="40" w:after="40"/>
              <w:jc w:val="left"/>
            </w:pPr>
            <w:r/>
            <w:r>
              <w:rPr>
                <w:rFonts w:ascii="Times New Roman" w:hAnsi="Times New Roman"/>
                <w:b w:val="0"/>
                <w:color w:val="000000"/>
                <w:sz w:val="20"/>
              </w:rPr>
              <w:t>Público</w:t>
            </w:r>
          </w:p>
        </w:tc>
      </w:tr>
      <w:tr>
        <w:tc>
          <w:tcPr>
            <w:tcW w:type="dxa" w:w="2880"/>
          </w:tcPr>
          <w:p>
            <w:pPr>
              <w:spacing w:before="40" w:after="40"/>
              <w:jc w:val="left"/>
            </w:pPr>
            <w:r/>
            <w:r>
              <w:rPr>
                <w:rFonts w:ascii="Times New Roman" w:hAnsi="Times New Roman"/>
                <w:b w:val="0"/>
                <w:color w:val="000000"/>
                <w:sz w:val="20"/>
              </w:rPr>
              <w:t>DATABASE_URL</w:t>
            </w:r>
          </w:p>
        </w:tc>
        <w:tc>
          <w:tcPr>
            <w:tcW w:type="dxa" w:w="3600"/>
          </w:tcPr>
          <w:p>
            <w:pPr>
              <w:spacing w:before="40" w:after="40"/>
              <w:jc w:val="left"/>
            </w:pPr>
            <w:r/>
            <w:r>
              <w:rPr>
                <w:rFonts w:ascii="Times New Roman" w:hAnsi="Times New Roman"/>
                <w:b w:val="0"/>
                <w:color w:val="000000"/>
                <w:sz w:val="20"/>
              </w:rPr>
              <w:t>postgresql://user:pass@db.azure.com/siladocs</w:t>
            </w:r>
          </w:p>
        </w:tc>
        <w:tc>
          <w:tcPr>
            <w:tcW w:type="dxa" w:w="2736"/>
          </w:tcPr>
          <w:p>
            <w:pPr>
              <w:spacing w:before="40" w:after="40"/>
              <w:jc w:val="left"/>
            </w:pPr>
            <w:r/>
            <w:r>
              <w:rPr>
                <w:rFonts w:ascii="Times New Roman" w:hAnsi="Times New Roman"/>
                <w:b w:val="0"/>
                <w:color w:val="000000"/>
                <w:sz w:val="20"/>
              </w:rPr>
              <w:t>Secreto (Key Vault)</w:t>
            </w:r>
          </w:p>
        </w:tc>
      </w:tr>
      <w:tr>
        <w:tc>
          <w:tcPr>
            <w:tcW w:type="dxa" w:w="2880"/>
          </w:tcPr>
          <w:p>
            <w:pPr>
              <w:spacing w:before="40" w:after="40"/>
              <w:jc w:val="left"/>
            </w:pPr>
            <w:r/>
            <w:r>
              <w:rPr>
                <w:rFonts w:ascii="Times New Roman" w:hAnsi="Times New Roman"/>
                <w:b w:val="0"/>
                <w:color w:val="000000"/>
                <w:sz w:val="20"/>
              </w:rPr>
              <w:t>BLOCKCHAIN_CA_URL</w:t>
            </w:r>
          </w:p>
        </w:tc>
        <w:tc>
          <w:tcPr>
            <w:tcW w:type="dxa" w:w="3600"/>
          </w:tcPr>
          <w:p>
            <w:pPr>
              <w:spacing w:before="40" w:after="40"/>
              <w:jc w:val="left"/>
            </w:pPr>
            <w:r/>
            <w:r>
              <w:rPr>
                <w:rFonts w:ascii="Times New Roman" w:hAnsi="Times New Roman"/>
                <w:b w:val="0"/>
                <w:color w:val="000000"/>
                <w:sz w:val="20"/>
              </w:rPr>
              <w:t>https://fabric-ca.internal:7054</w:t>
            </w:r>
          </w:p>
        </w:tc>
        <w:tc>
          <w:tcPr>
            <w:tcW w:type="dxa" w:w="2736"/>
          </w:tcPr>
          <w:p>
            <w:pPr>
              <w:spacing w:before="40" w:after="40"/>
              <w:jc w:val="left"/>
            </w:pPr>
            <w:r/>
            <w:r>
              <w:rPr>
                <w:rFonts w:ascii="Times New Roman" w:hAnsi="Times New Roman"/>
                <w:b w:val="0"/>
                <w:color w:val="000000"/>
                <w:sz w:val="20"/>
              </w:rPr>
              <w:t>Secreto (Key Vault)</w:t>
            </w:r>
          </w:p>
        </w:tc>
      </w:tr>
      <w:tr>
        <w:tc>
          <w:tcPr>
            <w:tcW w:type="dxa" w:w="2880"/>
          </w:tcPr>
          <w:p>
            <w:pPr>
              <w:spacing w:before="40" w:after="40"/>
              <w:jc w:val="left"/>
            </w:pPr>
            <w:r/>
            <w:r>
              <w:rPr>
                <w:rFonts w:ascii="Times New Roman" w:hAnsi="Times New Roman"/>
                <w:b w:val="0"/>
                <w:color w:val="000000"/>
                <w:sz w:val="20"/>
              </w:rPr>
              <w:t>JWT_SECRET</w:t>
            </w:r>
          </w:p>
        </w:tc>
        <w:tc>
          <w:tcPr>
            <w:tcW w:type="dxa" w:w="3600"/>
          </w:tcPr>
          <w:p>
            <w:pPr>
              <w:spacing w:before="40" w:after="40"/>
              <w:jc w:val="left"/>
            </w:pPr>
            <w:r/>
            <w:r>
              <w:rPr>
                <w:rFonts w:ascii="Times New Roman" w:hAnsi="Times New Roman"/>
                <w:b w:val="0"/>
                <w:color w:val="000000"/>
                <w:sz w:val="20"/>
              </w:rPr>
              <w:t>(clave criptográfica de 256 bits)</w:t>
            </w:r>
          </w:p>
        </w:tc>
        <w:tc>
          <w:tcPr>
            <w:tcW w:type="dxa" w:w="2736"/>
          </w:tcPr>
          <w:p>
            <w:pPr>
              <w:spacing w:before="40" w:after="40"/>
              <w:jc w:val="left"/>
            </w:pPr>
            <w:r/>
            <w:r>
              <w:rPr>
                <w:rFonts w:ascii="Times New Roman" w:hAnsi="Times New Roman"/>
                <w:b w:val="0"/>
                <w:color w:val="000000"/>
                <w:sz w:val="20"/>
              </w:rPr>
              <w:t>Secreto (Key Vault)</w:t>
            </w:r>
          </w:p>
        </w:tc>
      </w:tr>
      <w:tr>
        <w:tc>
          <w:tcPr>
            <w:tcW w:type="dxa" w:w="2880"/>
          </w:tcPr>
          <w:p>
            <w:pPr>
              <w:spacing w:before="40" w:after="40"/>
              <w:jc w:val="left"/>
            </w:pPr>
            <w:r/>
            <w:r>
              <w:rPr>
                <w:rFonts w:ascii="Times New Roman" w:hAnsi="Times New Roman"/>
                <w:b w:val="0"/>
                <w:color w:val="000000"/>
                <w:sz w:val="20"/>
              </w:rPr>
              <w:t>LOG_LEVEL</w:t>
            </w:r>
          </w:p>
        </w:tc>
        <w:tc>
          <w:tcPr>
            <w:tcW w:type="dxa" w:w="3600"/>
          </w:tcPr>
          <w:p>
            <w:pPr>
              <w:spacing w:before="40" w:after="40"/>
              <w:jc w:val="left"/>
            </w:pPr>
            <w:r/>
            <w:r>
              <w:rPr>
                <w:rFonts w:ascii="Times New Roman" w:hAnsi="Times New Roman"/>
                <w:b w:val="0"/>
                <w:color w:val="000000"/>
                <w:sz w:val="20"/>
              </w:rPr>
              <w:t>info</w:t>
            </w:r>
          </w:p>
        </w:tc>
        <w:tc>
          <w:tcPr>
            <w:tcW w:type="dxa" w:w="2736"/>
          </w:tcPr>
          <w:p>
            <w:pPr>
              <w:spacing w:before="40" w:after="40"/>
              <w:jc w:val="left"/>
            </w:pPr>
            <w:r/>
            <w:r>
              <w:rPr>
                <w:rFonts w:ascii="Times New Roman" w:hAnsi="Times New Roman"/>
                <w:b w:val="0"/>
                <w:color w:val="000000"/>
                <w:sz w:val="20"/>
              </w:rPr>
              <w:t>Público</w:t>
            </w:r>
          </w:p>
        </w:tc>
      </w:tr>
    </w:tbl>
    <w:p>
      <w:pPr>
        <w:spacing w:line="480" w:lineRule="auto" w:before="0" w:after="0"/>
        <w:jc w:val="center"/>
      </w:pPr>
      <w:r>
        <w:rPr>
          <w:rFonts w:ascii="Times New Roman" w:hAnsi="Times New Roman"/>
          <w:b/>
          <w:i w:val="0"/>
          <w:color w:val="000000"/>
          <w:sz w:val="24"/>
        </w:rPr>
        <w:t>7. Escalabilidad y Alta Disponibilidad</w:t>
      </w:r>
    </w:p>
    <w:p>
      <w:pPr>
        <w:spacing w:line="480" w:lineRule="auto" w:before="0" w:after="0"/>
        <w:ind w:firstLine="720"/>
        <w:jc w:val="left"/>
      </w:pPr>
      <w:r>
        <w:rPr>
          <w:rFonts w:ascii="Times New Roman" w:hAnsi="Times New Roman"/>
          <w:b w:val="0"/>
          <w:i w:val="0"/>
          <w:color w:val="000000"/>
          <w:sz w:val="24"/>
        </w:rPr>
        <w:t>AKS se configura con autoscaling horizontal: el Kubernetes Horizontal Pod Autoscaler (HPA) ajusta el número de réplicas basándose en CPU y memoria. Bajo picos de carga (ej. inicio de semestre académico), AKS puede escalar de 3 a 10 nodos en minutos (Microsoft, 2024). PostgreSQL se configura con replicación de lectura en otra región para recuperación ante desastres (RTO &lt; 1 hora, RPO &lt; 5 minutos).</w:t>
      </w:r>
    </w:p>
    <w:p>
      <w:r>
        <w:br w:type="page"/>
      </w:r>
    </w:p>
    <w:p>
      <w:pPr>
        <w:spacing w:line="480" w:lineRule="auto" w:before="0" w:after="0"/>
        <w:jc w:val="center"/>
      </w:pPr>
      <w:r>
        <w:rPr>
          <w:rFonts w:ascii="Times New Roman" w:hAnsi="Times New Roman"/>
          <w:b/>
          <w:i w:val="0"/>
          <w:color w:val="000000"/>
          <w:sz w:val="24"/>
        </w:rPr>
        <w:t>Referencias</w:t>
      </w:r>
    </w:p>
    <w:p>
      <w:pPr>
        <w:spacing w:line="480" w:lineRule="auto"/>
        <w:ind w:left="720" w:hanging="720"/>
      </w:pPr>
      <w:r>
        <w:rPr>
          <w:rFonts w:ascii="Times New Roman" w:hAnsi="Times New Roman"/>
          <w:b w:val="0"/>
          <w:i w:val="0"/>
          <w:color w:val="000000"/>
          <w:sz w:val="24"/>
        </w:rPr>
        <w:t>Hashicorp. (2024). Terraform AWS provider documentation. Hashicorp. https://registry.terraform.io/providers/hashicorp/azurerm/</w:t>
      </w:r>
    </w:p>
    <w:p>
      <w:pPr>
        <w:spacing w:line="480" w:lineRule="auto"/>
        <w:ind w:left="720" w:hanging="720"/>
      </w:pPr>
      <w:r>
        <w:rPr>
          <w:rFonts w:ascii="Times New Roman" w:hAnsi="Times New Roman"/>
          <w:b w:val="0"/>
          <w:i w:val="0"/>
          <w:color w:val="000000"/>
          <w:sz w:val="24"/>
        </w:rPr>
        <w:t>Hyperledger Foundation. (2023). Hyperledger Fabric v2.5 documentation. Linux Foundation. https://hyperledger-fabric.readthedocs.io/</w:t>
      </w:r>
    </w:p>
    <w:p>
      <w:pPr>
        <w:spacing w:line="480" w:lineRule="auto"/>
        <w:ind w:left="720" w:hanging="720"/>
      </w:pPr>
      <w:r>
        <w:rPr>
          <w:rFonts w:ascii="Times New Roman" w:hAnsi="Times New Roman"/>
          <w:b w:val="0"/>
          <w:i w:val="0"/>
          <w:color w:val="000000"/>
          <w:sz w:val="24"/>
        </w:rPr>
        <w:t>Microsoft. (2024). Azure Kubernetes Service (AKS) documentation. Microsoft Azure. https://learn.microsoft.com/en-us/azure/aks/</w:t>
      </w:r>
    </w:p>
    <w:p>
      <w:pPr>
        <w:spacing w:line="480" w:lineRule="auto"/>
        <w:ind w:left="720" w:hanging="720"/>
      </w:pPr>
      <w:r>
        <w:rPr>
          <w:rFonts w:ascii="Times New Roman" w:hAnsi="Times New Roman"/>
          <w:b w:val="0"/>
          <w:i w:val="0"/>
          <w:color w:val="000000"/>
          <w:sz w:val="24"/>
        </w:rPr>
        <w:t>Newman, S. (2019). Building microservices: Designing fine-grained systems (2.ª ed.). O'Reilly Media.</w:t>
      </w:r>
    </w:p>
    <w:p>
      <w:pPr>
        <w:spacing w:line="480" w:lineRule="auto"/>
        <w:ind w:left="720" w:hanging="720"/>
      </w:pPr>
      <w:r>
        <w:rPr>
          <w:rFonts w:ascii="Times New Roman" w:hAnsi="Times New Roman"/>
          <w:b w:val="0"/>
          <w:i w:val="0"/>
          <w:color w:val="000000"/>
          <w:sz w:val="24"/>
        </w:rPr>
        <w:t>Nygard, M. T. (2018). Release it! Design and deploy production-ready software (2.ª ed.). Pragmatic Bookshelf.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color w:val="000000"/>
        <w:sz w:val="24"/>
      </w:rPr>
      <w:t>SILADOCS: DESPLIEGUE Y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