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i w:val="0"/>
          <w:color w:val="000000"/>
          <w:sz w:val="24"/>
        </w:rPr>
        <w:t>Plan de Pruebas y Certificación</w:t>
      </w:r>
    </w:p>
    <w:p>
      <w:pPr>
        <w:spacing w:line="480" w:lineRule="auto"/>
        <w:jc w:val="center"/>
      </w:pPr>
      <w:r>
        <w:rPr>
          <w:rFonts w:ascii="Times New Roman" w:hAnsi="Times New Roman"/>
          <w:b w:val="0"/>
          <w:i w:val="0"/>
          <w:color w:val="000000"/>
          <w:sz w:val="24"/>
        </w:rPr>
        <w:t>Procedimiento de Validación y Certificación de Producción</w:t>
      </w: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val="0"/>
          <w:i w:val="0"/>
          <w:color w:val="000000"/>
          <w:sz w:val="24"/>
        </w:rPr>
        <w:t>Universidad / Institución Educativa</w:t>
      </w:r>
    </w:p>
    <w:p>
      <w:pPr>
        <w:spacing w:line="480" w:lineRule="auto"/>
        <w:jc w:val="center"/>
      </w:pPr>
      <w:r>
        <w:rPr>
          <w:rFonts w:ascii="Times New Roman" w:hAnsi="Times New Roman"/>
          <w:b w:val="0"/>
          <w:i w:val="0"/>
          <w:color w:val="000000"/>
          <w:sz w:val="24"/>
        </w:rPr>
        <w:t>Equipo de Desarrollo SilaDocs</w:t>
      </w:r>
    </w:p>
    <w:p>
      <w:pPr>
        <w:spacing w:line="480" w:lineRule="auto"/>
        <w:jc w:val="center"/>
      </w:pPr>
      <w:r>
        <w:rPr>
          <w:rFonts w:ascii="Times New Roman" w:hAnsi="Times New Roman"/>
          <w:b w:val="0"/>
          <w:i w:val="0"/>
          <w:color w:val="000000"/>
          <w:sz w:val="24"/>
        </w:rPr>
        <w:t>Junio 2026</w:t>
      </w:r>
    </w:p>
    <w:p>
      <w:r>
        <w:br w:type="page"/>
      </w:r>
    </w:p>
    <w:p>
      <w:pPr>
        <w:spacing w:line="480" w:lineRule="auto" w:before="0" w:after="0"/>
        <w:jc w:val="center"/>
      </w:pPr>
      <w:r>
        <w:rPr>
          <w:rFonts w:ascii="Times New Roman" w:hAnsi="Times New Roman"/>
          <w:b/>
          <w:i w:val="0"/>
          <w:color w:val="000000"/>
          <w:sz w:val="24"/>
        </w:rPr>
        <w:t>Resumen</w:t>
      </w:r>
    </w:p>
    <w:p>
      <w:pPr>
        <w:spacing w:line="480" w:lineRule="auto" w:before="0" w:after="0"/>
        <w:ind w:firstLine="720"/>
        <w:jc w:val="left"/>
      </w:pPr>
      <w:r>
        <w:rPr>
          <w:rFonts w:ascii="Times New Roman" w:hAnsi="Times New Roman"/>
          <w:b w:val="0"/>
          <w:i w:val="0"/>
          <w:color w:val="000000"/>
          <w:sz w:val="24"/>
        </w:rPr>
        <w:t>El presente plan de pruebas y certificación especifica los procedimientos de validación técnica, de seguridad, de rendimiento y de conformidad regulatoria requeridos para certificar SilaDocs como apto para operación en producción. El plan está estructurado en cuatro etapas de pruebas secuenciales (unitarias, integración, sistema, aceptación), con criterios de salida explícitos para cada etapa. La certificación final requiere la aprobación de un auditor externo independiente, la firma de actas de conformidad por todos los stakeholders, y el logro de SLOs definidos durante los primeros 30 días de operación en producción.</w:t>
      </w:r>
    </w:p>
    <w:p>
      <w:pPr>
        <w:spacing w:line="480" w:lineRule="auto" w:before="0" w:after="0"/>
        <w:jc w:val="left"/>
      </w:pPr>
    </w:p>
    <w:p>
      <w:pPr>
        <w:spacing w:line="480" w:lineRule="auto"/>
        <w:ind w:firstLine="720"/>
      </w:pPr>
      <w:r>
        <w:rPr>
          <w:rFonts w:ascii="Times New Roman" w:hAnsi="Times New Roman"/>
          <w:b w:val="0"/>
          <w:i/>
          <w:color w:val="000000"/>
          <w:sz w:val="24"/>
        </w:rPr>
        <w:t xml:space="preserve">Palabras clave: </w:t>
      </w:r>
      <w:r>
        <w:rPr>
          <w:rFonts w:ascii="Times New Roman" w:hAnsi="Times New Roman"/>
          <w:b w:val="0"/>
          <w:i w:val="0"/>
          <w:color w:val="000000"/>
          <w:sz w:val="24"/>
        </w:rPr>
        <w:t>plan de pruebas, certificación, defectos, criterios de aceptación, go-live</w:t>
      </w:r>
    </w:p>
    <w:p>
      <w:r>
        <w:br w:type="page"/>
      </w:r>
    </w:p>
    <w:p>
      <w:pPr>
        <w:spacing w:line="480" w:lineRule="auto" w:before="0" w:after="0"/>
        <w:jc w:val="center"/>
      </w:pPr>
      <w:r>
        <w:rPr>
          <w:rFonts w:ascii="Times New Roman" w:hAnsi="Times New Roman"/>
          <w:b/>
          <w:i w:val="0"/>
          <w:color w:val="000000"/>
          <w:sz w:val="24"/>
        </w:rPr>
        <w:t>1. Introducción y Objetivos del Plan</w:t>
      </w:r>
    </w:p>
    <w:p>
      <w:pPr>
        <w:spacing w:line="480" w:lineRule="auto" w:before="0" w:after="0"/>
        <w:ind w:firstLine="720"/>
        <w:jc w:val="left"/>
      </w:pPr>
      <w:r>
        <w:rPr>
          <w:rFonts w:ascii="Times New Roman" w:hAnsi="Times New Roman"/>
          <w:b w:val="0"/>
          <w:i w:val="0"/>
          <w:color w:val="000000"/>
          <w:sz w:val="24"/>
        </w:rPr>
        <w:t>El plan de pruebas establece un marco sistemático para validar que SilaDocs cumple con todos los requisitos funcionales y no funcionales antes de su despliegue en ambiente de producción. Los objetivos principales son: (1) identificar y documentar defectos mediante pruebas exhaustivas; (2) verificar que el sistema es seguro, confiable y escalable; (3) obtener aprobación de aceptación por parte de usuarios finales; y (4) asegurar que se cumplen los SLOs definidos en la sección 6.</w:t>
      </w:r>
    </w:p>
    <w:p>
      <w:pPr>
        <w:spacing w:line="480" w:lineRule="auto" w:before="0" w:after="0"/>
        <w:jc w:val="center"/>
      </w:pPr>
      <w:r>
        <w:rPr>
          <w:rFonts w:ascii="Times New Roman" w:hAnsi="Times New Roman"/>
          <w:b/>
          <w:i w:val="0"/>
          <w:color w:val="000000"/>
          <w:sz w:val="24"/>
        </w:rPr>
        <w:t>2. Estrategia de Pruebas: Enfoque Multinivel</w:t>
      </w:r>
    </w:p>
    <w:p>
      <w:pPr>
        <w:spacing w:line="480" w:lineRule="auto" w:before="0" w:after="0"/>
        <w:ind w:firstLine="720"/>
        <w:jc w:val="left"/>
      </w:pPr>
      <w:r>
        <w:rPr>
          <w:rFonts w:ascii="Times New Roman" w:hAnsi="Times New Roman"/>
          <w:b w:val="0"/>
          <w:i w:val="0"/>
          <w:color w:val="000000"/>
          <w:sz w:val="24"/>
        </w:rPr>
        <w:t>La estrategia sigue un enfoque de pruebas en pirámide, con mayor énfasis en pruebas automatizadas de bajo nivel (unitarias) y progresivamente fewer but more integrated tests en niveles superiores (Cohn, 2009). La Tabla 1 presenta la distribución de pruebas por nivel.</w:t>
      </w:r>
    </w:p>
    <w:p>
      <w:pPr>
        <w:spacing w:line="480" w:lineRule="auto" w:before="0" w:after="0"/>
        <w:jc w:val="left"/>
      </w:pPr>
    </w:p>
    <w:p>
      <w:pPr>
        <w:spacing w:line="480" w:lineRule="auto"/>
        <w:jc w:val="center"/>
      </w:pPr>
      <w:r>
        <w:rPr>
          <w:rFonts w:ascii="Times New Roman" w:hAnsi="Times New Roman"/>
          <w:b w:val="0"/>
          <w:i w:val="0"/>
          <w:color w:val="000000"/>
          <w:sz w:val="24"/>
        </w:rPr>
        <w:t>Tabla 1</w:t>
      </w:r>
    </w:p>
    <w:p>
      <w:pPr>
        <w:spacing w:line="480" w:lineRule="auto"/>
        <w:jc w:val="left"/>
      </w:pPr>
      <w:r>
        <w:rPr>
          <w:rFonts w:ascii="Times New Roman" w:hAnsi="Times New Roman"/>
          <w:b w:val="0"/>
          <w:i/>
          <w:color w:val="000000"/>
          <w:sz w:val="24"/>
        </w:rPr>
        <w:t>Distribución de Pruebas por Nivel (Test Pyramid — Cohn, 2009)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D0D0D0"/>
          </w:tcPr>
          <w:p>
            <w:pPr>
              <w:spacing w:before="40" w:after="40"/>
              <w:jc w:val="left"/>
            </w:pPr>
            <w:r/>
            <w:r>
              <w:rPr>
                <w:rFonts w:ascii="Times New Roman" w:hAnsi="Times New Roman"/>
                <w:b/>
                <w:color w:val="000000"/>
                <w:sz w:val="20"/>
              </w:rPr>
              <w:t>Nivel de Prueba</w:t>
            </w:r>
          </w:p>
        </w:tc>
        <w:tc>
          <w:tcPr>
            <w:tcW w:type="dxa" w:w="2880"/>
            <w:shd w:val="clear" w:color="auto" w:fill="D0D0D0"/>
          </w:tcPr>
          <w:p>
            <w:pPr>
              <w:spacing w:before="40" w:after="40"/>
              <w:jc w:val="left"/>
            </w:pPr>
            <w:r/>
            <w:r>
              <w:rPr>
                <w:rFonts w:ascii="Times New Roman" w:hAnsi="Times New Roman"/>
                <w:b/>
                <w:color w:val="000000"/>
                <w:sz w:val="20"/>
              </w:rPr>
              <w:t>Herramienta</w:t>
            </w:r>
          </w:p>
        </w:tc>
        <w:tc>
          <w:tcPr>
            <w:tcW w:type="dxa" w:w="1728"/>
            <w:shd w:val="clear" w:color="auto" w:fill="D0D0D0"/>
          </w:tcPr>
          <w:p>
            <w:pPr>
              <w:spacing w:before="40" w:after="40"/>
              <w:jc w:val="left"/>
            </w:pPr>
            <w:r/>
            <w:r>
              <w:rPr>
                <w:rFonts w:ascii="Times New Roman" w:hAnsi="Times New Roman"/>
                <w:b/>
                <w:color w:val="000000"/>
                <w:sz w:val="20"/>
              </w:rPr>
              <w:t>Cantidad</w:t>
            </w:r>
          </w:p>
        </w:tc>
        <w:tc>
          <w:tcPr>
            <w:tcW w:type="dxa" w:w="2304"/>
            <w:shd w:val="clear" w:color="auto" w:fill="D0D0D0"/>
          </w:tcPr>
          <w:p>
            <w:pPr>
              <w:spacing w:before="40" w:after="40"/>
              <w:jc w:val="left"/>
            </w:pPr>
            <w:r/>
            <w:r>
              <w:rPr>
                <w:rFonts w:ascii="Times New Roman" w:hAnsi="Times New Roman"/>
                <w:b/>
                <w:color w:val="000000"/>
                <w:sz w:val="20"/>
              </w:rPr>
              <w:t>Automatización</w:t>
            </w:r>
          </w:p>
        </w:tc>
        <w:tc>
          <w:tcPr>
            <w:tcW w:type="dxa" w:w="1872"/>
            <w:shd w:val="clear" w:color="auto" w:fill="D0D0D0"/>
          </w:tcPr>
          <w:p>
            <w:pPr>
              <w:spacing w:before="40" w:after="40"/>
              <w:jc w:val="left"/>
            </w:pPr>
            <w:r/>
            <w:r>
              <w:rPr>
                <w:rFonts w:ascii="Times New Roman" w:hAnsi="Times New Roman"/>
                <w:b/>
                <w:color w:val="000000"/>
                <w:sz w:val="20"/>
              </w:rPr>
              <w:t>Duración</w:t>
            </w:r>
          </w:p>
        </w:tc>
      </w:tr>
      <w:tr>
        <w:tc>
          <w:tcPr>
            <w:tcW w:type="dxa" w:w="2304"/>
          </w:tcPr>
          <w:p>
            <w:pPr>
              <w:spacing w:before="40" w:after="40"/>
              <w:jc w:val="left"/>
            </w:pPr>
            <w:r/>
            <w:r>
              <w:rPr>
                <w:rFonts w:ascii="Times New Roman" w:hAnsi="Times New Roman"/>
                <w:b w:val="0"/>
                <w:color w:val="000000"/>
                <w:sz w:val="20"/>
              </w:rPr>
              <w:t>Unitarias</w:t>
            </w:r>
          </w:p>
        </w:tc>
        <w:tc>
          <w:tcPr>
            <w:tcW w:type="dxa" w:w="2880"/>
          </w:tcPr>
          <w:p>
            <w:pPr>
              <w:spacing w:before="40" w:after="40"/>
              <w:jc w:val="left"/>
            </w:pPr>
            <w:r/>
            <w:r>
              <w:rPr>
                <w:rFonts w:ascii="Times New Roman" w:hAnsi="Times New Roman"/>
                <w:b w:val="0"/>
                <w:color w:val="000000"/>
                <w:sz w:val="20"/>
              </w:rPr>
              <w:t>Jest + React Testing Library</w:t>
            </w:r>
          </w:p>
        </w:tc>
        <w:tc>
          <w:tcPr>
            <w:tcW w:type="dxa" w:w="1728"/>
          </w:tcPr>
          <w:p>
            <w:pPr>
              <w:spacing w:before="40" w:after="40"/>
              <w:jc w:val="left"/>
            </w:pPr>
            <w:r/>
            <w:r>
              <w:rPr>
                <w:rFonts w:ascii="Times New Roman" w:hAnsi="Times New Roman"/>
                <w:b w:val="0"/>
                <w:color w:val="000000"/>
                <w:sz w:val="20"/>
              </w:rPr>
              <w:t>200+</w:t>
            </w:r>
          </w:p>
        </w:tc>
        <w:tc>
          <w:tcPr>
            <w:tcW w:type="dxa" w:w="2304"/>
          </w:tcPr>
          <w:p>
            <w:pPr>
              <w:spacing w:before="40" w:after="40"/>
              <w:jc w:val="left"/>
            </w:pPr>
            <w:r/>
            <w:r>
              <w:rPr>
                <w:rFonts w:ascii="Times New Roman" w:hAnsi="Times New Roman"/>
                <w:b w:val="0"/>
                <w:color w:val="000000"/>
                <w:sz w:val="20"/>
              </w:rPr>
              <w:t>100% automatizada</w:t>
            </w:r>
          </w:p>
        </w:tc>
        <w:tc>
          <w:tcPr>
            <w:tcW w:type="dxa" w:w="1872"/>
          </w:tcPr>
          <w:p>
            <w:pPr>
              <w:spacing w:before="40" w:after="40"/>
              <w:jc w:val="left"/>
            </w:pPr>
            <w:r/>
            <w:r>
              <w:rPr>
                <w:rFonts w:ascii="Times New Roman" w:hAnsi="Times New Roman"/>
                <w:b w:val="0"/>
                <w:color w:val="000000"/>
                <w:sz w:val="20"/>
              </w:rPr>
              <w:t>&lt; 1 min</w:t>
            </w:r>
          </w:p>
        </w:tc>
      </w:tr>
      <w:tr>
        <w:tc>
          <w:tcPr>
            <w:tcW w:type="dxa" w:w="2304"/>
          </w:tcPr>
          <w:p>
            <w:pPr>
              <w:spacing w:before="40" w:after="40"/>
              <w:jc w:val="left"/>
            </w:pPr>
            <w:r/>
            <w:r>
              <w:rPr>
                <w:rFonts w:ascii="Times New Roman" w:hAnsi="Times New Roman"/>
                <w:b w:val="0"/>
                <w:color w:val="000000"/>
                <w:sz w:val="20"/>
              </w:rPr>
              <w:t>Integración</w:t>
            </w:r>
          </w:p>
        </w:tc>
        <w:tc>
          <w:tcPr>
            <w:tcW w:type="dxa" w:w="2880"/>
          </w:tcPr>
          <w:p>
            <w:pPr>
              <w:spacing w:before="40" w:after="40"/>
              <w:jc w:val="left"/>
            </w:pPr>
            <w:r/>
            <w:r>
              <w:rPr>
                <w:rFonts w:ascii="Times New Roman" w:hAnsi="Times New Roman"/>
                <w:b w:val="0"/>
                <w:color w:val="000000"/>
                <w:sz w:val="20"/>
              </w:rPr>
              <w:t>Playwright (e2e)</w:t>
            </w:r>
          </w:p>
        </w:tc>
        <w:tc>
          <w:tcPr>
            <w:tcW w:type="dxa" w:w="1728"/>
          </w:tcPr>
          <w:p>
            <w:pPr>
              <w:spacing w:before="40" w:after="40"/>
              <w:jc w:val="left"/>
            </w:pPr>
            <w:r/>
            <w:r>
              <w:rPr>
                <w:rFonts w:ascii="Times New Roman" w:hAnsi="Times New Roman"/>
                <w:b w:val="0"/>
                <w:color w:val="000000"/>
                <w:sz w:val="20"/>
              </w:rPr>
              <w:t>40 casos</w:t>
            </w:r>
          </w:p>
        </w:tc>
        <w:tc>
          <w:tcPr>
            <w:tcW w:type="dxa" w:w="2304"/>
          </w:tcPr>
          <w:p>
            <w:pPr>
              <w:spacing w:before="40" w:after="40"/>
              <w:jc w:val="left"/>
            </w:pPr>
            <w:r/>
            <w:r>
              <w:rPr>
                <w:rFonts w:ascii="Times New Roman" w:hAnsi="Times New Roman"/>
                <w:b w:val="0"/>
                <w:color w:val="000000"/>
                <w:sz w:val="20"/>
              </w:rPr>
              <w:t>100% automatizada</w:t>
            </w:r>
          </w:p>
        </w:tc>
        <w:tc>
          <w:tcPr>
            <w:tcW w:type="dxa" w:w="1872"/>
          </w:tcPr>
          <w:p>
            <w:pPr>
              <w:spacing w:before="40" w:after="40"/>
              <w:jc w:val="left"/>
            </w:pPr>
            <w:r/>
            <w:r>
              <w:rPr>
                <w:rFonts w:ascii="Times New Roman" w:hAnsi="Times New Roman"/>
                <w:b w:val="0"/>
                <w:color w:val="000000"/>
                <w:sz w:val="20"/>
              </w:rPr>
              <w:t>5–10 min</w:t>
            </w:r>
          </w:p>
        </w:tc>
      </w:tr>
      <w:tr>
        <w:tc>
          <w:tcPr>
            <w:tcW w:type="dxa" w:w="2304"/>
          </w:tcPr>
          <w:p>
            <w:pPr>
              <w:spacing w:before="40" w:after="40"/>
              <w:jc w:val="left"/>
            </w:pPr>
            <w:r/>
            <w:r>
              <w:rPr>
                <w:rFonts w:ascii="Times New Roman" w:hAnsi="Times New Roman"/>
                <w:b w:val="0"/>
                <w:color w:val="000000"/>
                <w:sz w:val="20"/>
              </w:rPr>
              <w:t>Sistema/Carga</w:t>
            </w:r>
          </w:p>
        </w:tc>
        <w:tc>
          <w:tcPr>
            <w:tcW w:type="dxa" w:w="2880"/>
          </w:tcPr>
          <w:p>
            <w:pPr>
              <w:spacing w:before="40" w:after="40"/>
              <w:jc w:val="left"/>
            </w:pPr>
            <w:r/>
            <w:r>
              <w:rPr>
                <w:rFonts w:ascii="Times New Roman" w:hAnsi="Times New Roman"/>
                <w:b w:val="0"/>
                <w:color w:val="000000"/>
                <w:sz w:val="20"/>
              </w:rPr>
              <w:t>Apache JMeter</w:t>
            </w:r>
          </w:p>
        </w:tc>
        <w:tc>
          <w:tcPr>
            <w:tcW w:type="dxa" w:w="1728"/>
          </w:tcPr>
          <w:p>
            <w:pPr>
              <w:spacing w:before="40" w:after="40"/>
              <w:jc w:val="left"/>
            </w:pPr>
            <w:r/>
            <w:r>
              <w:rPr>
                <w:rFonts w:ascii="Times New Roman" w:hAnsi="Times New Roman"/>
                <w:b w:val="0"/>
                <w:color w:val="000000"/>
                <w:sz w:val="20"/>
              </w:rPr>
              <w:t>3 escenarios</w:t>
            </w:r>
          </w:p>
        </w:tc>
        <w:tc>
          <w:tcPr>
            <w:tcW w:type="dxa" w:w="2304"/>
          </w:tcPr>
          <w:p>
            <w:pPr>
              <w:spacing w:before="40" w:after="40"/>
              <w:jc w:val="left"/>
            </w:pPr>
            <w:r/>
            <w:r>
              <w:rPr>
                <w:rFonts w:ascii="Times New Roman" w:hAnsi="Times New Roman"/>
                <w:b w:val="0"/>
                <w:color w:val="000000"/>
                <w:sz w:val="20"/>
              </w:rPr>
              <w:t>100% automatizada</w:t>
            </w:r>
          </w:p>
        </w:tc>
        <w:tc>
          <w:tcPr>
            <w:tcW w:type="dxa" w:w="1872"/>
          </w:tcPr>
          <w:p>
            <w:pPr>
              <w:spacing w:before="40" w:after="40"/>
              <w:jc w:val="left"/>
            </w:pPr>
            <w:r/>
            <w:r>
              <w:rPr>
                <w:rFonts w:ascii="Times New Roman" w:hAnsi="Times New Roman"/>
                <w:b w:val="0"/>
                <w:color w:val="000000"/>
                <w:sz w:val="20"/>
              </w:rPr>
              <w:t>10–15 min</w:t>
            </w:r>
          </w:p>
        </w:tc>
      </w:tr>
      <w:tr>
        <w:tc>
          <w:tcPr>
            <w:tcW w:type="dxa" w:w="2304"/>
          </w:tcPr>
          <w:p>
            <w:pPr>
              <w:spacing w:before="40" w:after="40"/>
              <w:jc w:val="left"/>
            </w:pPr>
            <w:r/>
            <w:r>
              <w:rPr>
                <w:rFonts w:ascii="Times New Roman" w:hAnsi="Times New Roman"/>
                <w:b w:val="0"/>
                <w:color w:val="000000"/>
                <w:sz w:val="20"/>
              </w:rPr>
              <w:t>Aceptación (UAT)</w:t>
            </w:r>
          </w:p>
        </w:tc>
        <w:tc>
          <w:tcPr>
            <w:tcW w:type="dxa" w:w="2880"/>
          </w:tcPr>
          <w:p>
            <w:pPr>
              <w:spacing w:before="40" w:after="40"/>
              <w:jc w:val="left"/>
            </w:pPr>
            <w:r/>
            <w:r>
              <w:rPr>
                <w:rFonts w:ascii="Times New Roman" w:hAnsi="Times New Roman"/>
                <w:b w:val="0"/>
                <w:color w:val="000000"/>
                <w:sz w:val="20"/>
              </w:rPr>
              <w:t>Manual con usuarios reales</w:t>
            </w:r>
          </w:p>
        </w:tc>
        <w:tc>
          <w:tcPr>
            <w:tcW w:type="dxa" w:w="1728"/>
          </w:tcPr>
          <w:p>
            <w:pPr>
              <w:spacing w:before="40" w:after="40"/>
              <w:jc w:val="left"/>
            </w:pPr>
            <w:r/>
            <w:r>
              <w:rPr>
                <w:rFonts w:ascii="Times New Roman" w:hAnsi="Times New Roman"/>
                <w:b w:val="0"/>
                <w:color w:val="000000"/>
                <w:sz w:val="20"/>
              </w:rPr>
              <w:t>15 usuarios</w:t>
            </w:r>
          </w:p>
        </w:tc>
        <w:tc>
          <w:tcPr>
            <w:tcW w:type="dxa" w:w="2304"/>
          </w:tcPr>
          <w:p>
            <w:pPr>
              <w:spacing w:before="40" w:after="40"/>
              <w:jc w:val="left"/>
            </w:pPr>
            <w:r/>
            <w:r>
              <w:rPr>
                <w:rFonts w:ascii="Times New Roman" w:hAnsi="Times New Roman"/>
                <w:b w:val="0"/>
                <w:color w:val="000000"/>
                <w:sz w:val="20"/>
              </w:rPr>
              <w:t>Manual + SUS encuesta</w:t>
            </w:r>
          </w:p>
        </w:tc>
        <w:tc>
          <w:tcPr>
            <w:tcW w:type="dxa" w:w="1872"/>
          </w:tcPr>
          <w:p>
            <w:pPr>
              <w:spacing w:before="40" w:after="40"/>
              <w:jc w:val="left"/>
            </w:pPr>
            <w:r/>
            <w:r>
              <w:rPr>
                <w:rFonts w:ascii="Times New Roman" w:hAnsi="Times New Roman"/>
                <w:b w:val="0"/>
                <w:color w:val="000000"/>
                <w:sz w:val="20"/>
              </w:rPr>
              <w:t>30 min/usuario</w:t>
            </w:r>
          </w:p>
        </w:tc>
      </w:tr>
      <w:tr>
        <w:tc>
          <w:tcPr>
            <w:tcW w:type="dxa" w:w="2304"/>
          </w:tcPr>
          <w:p>
            <w:pPr>
              <w:spacing w:before="40" w:after="40"/>
              <w:jc w:val="left"/>
            </w:pPr>
            <w:r/>
            <w:r>
              <w:rPr>
                <w:rFonts w:ascii="Times New Roman" w:hAnsi="Times New Roman"/>
                <w:b w:val="0"/>
                <w:color w:val="000000"/>
                <w:sz w:val="20"/>
              </w:rPr>
              <w:t>Seguridad</w:t>
            </w:r>
          </w:p>
        </w:tc>
        <w:tc>
          <w:tcPr>
            <w:tcW w:type="dxa" w:w="2880"/>
          </w:tcPr>
          <w:p>
            <w:pPr>
              <w:spacing w:before="40" w:after="40"/>
              <w:jc w:val="left"/>
            </w:pPr>
            <w:r/>
            <w:r>
              <w:rPr>
                <w:rFonts w:ascii="Times New Roman" w:hAnsi="Times New Roman"/>
                <w:b w:val="0"/>
                <w:color w:val="000000"/>
                <w:sz w:val="20"/>
              </w:rPr>
              <w:t>OWASP ZAP + revisión manual</w:t>
            </w:r>
          </w:p>
        </w:tc>
        <w:tc>
          <w:tcPr>
            <w:tcW w:type="dxa" w:w="1728"/>
          </w:tcPr>
          <w:p>
            <w:pPr>
              <w:spacing w:before="40" w:after="40"/>
              <w:jc w:val="left"/>
            </w:pPr>
            <w:r/>
            <w:r>
              <w:rPr>
                <w:rFonts w:ascii="Times New Roman" w:hAnsi="Times New Roman"/>
                <w:b w:val="0"/>
                <w:color w:val="000000"/>
                <w:sz w:val="20"/>
              </w:rPr>
              <w:t>Continua</w:t>
            </w:r>
          </w:p>
        </w:tc>
        <w:tc>
          <w:tcPr>
            <w:tcW w:type="dxa" w:w="2304"/>
          </w:tcPr>
          <w:p>
            <w:pPr>
              <w:spacing w:before="40" w:after="40"/>
              <w:jc w:val="left"/>
            </w:pPr>
            <w:r/>
            <w:r>
              <w:rPr>
                <w:rFonts w:ascii="Times New Roman" w:hAnsi="Times New Roman"/>
                <w:b w:val="0"/>
                <w:color w:val="000000"/>
                <w:sz w:val="20"/>
              </w:rPr>
              <w:t>Semi-automatizada</w:t>
            </w:r>
          </w:p>
        </w:tc>
        <w:tc>
          <w:tcPr>
            <w:tcW w:type="dxa" w:w="1872"/>
          </w:tcPr>
          <w:p>
            <w:pPr>
              <w:spacing w:before="40" w:after="40"/>
              <w:jc w:val="left"/>
            </w:pPr>
            <w:r/>
            <w:r>
              <w:rPr>
                <w:rFonts w:ascii="Times New Roman" w:hAnsi="Times New Roman"/>
                <w:b w:val="0"/>
                <w:color w:val="000000"/>
                <w:sz w:val="20"/>
              </w:rPr>
              <w:t>2 horas</w:t>
            </w:r>
          </w:p>
        </w:tc>
      </w:tr>
    </w:tbl>
    <w:p>
      <w:pPr>
        <w:spacing w:line="480" w:lineRule="auto" w:before="0" w:after="0"/>
        <w:jc w:val="center"/>
      </w:pPr>
      <w:r>
        <w:rPr>
          <w:rFonts w:ascii="Times New Roman" w:hAnsi="Times New Roman"/>
          <w:b/>
          <w:i w:val="0"/>
          <w:color w:val="000000"/>
          <w:sz w:val="24"/>
        </w:rPr>
        <w:t>3. Etapas Secuenciales de Pruebas</w:t>
      </w:r>
    </w:p>
    <w:p>
      <w:pPr>
        <w:spacing w:line="480" w:lineRule="auto" w:before="0" w:after="0"/>
        <w:jc w:val="left"/>
      </w:pPr>
      <w:r>
        <w:rPr>
          <w:rFonts w:ascii="Times New Roman" w:hAnsi="Times New Roman"/>
          <w:b/>
          <w:i w:val="0"/>
          <w:color w:val="000000"/>
          <w:sz w:val="24"/>
        </w:rPr>
        <w:t>3.1 Etapa 1: Pruebas Unitarias (Entorno de Desarrollo)</w:t>
      </w:r>
    </w:p>
    <w:p>
      <w:pPr>
        <w:spacing w:line="480" w:lineRule="auto" w:before="0" w:after="0"/>
        <w:ind w:firstLine="720"/>
        <w:jc w:val="left"/>
      </w:pPr>
      <w:r>
        <w:rPr>
          <w:rFonts w:ascii="Times New Roman" w:hAnsi="Times New Roman"/>
          <w:b w:val="0"/>
          <w:i w:val="0"/>
          <w:color w:val="000000"/>
          <w:sz w:val="24"/>
        </w:rPr>
        <w:t>Objetivo: Verificar que cada unidad de código (función, componente React) funciona correctamente aislada. Criterio de salida: Cobertura ≥ 70% de código crítico, todos los tests ejecutados sin fallos (exit code 0). Responsable: Desarrolladores. Ejecución: En cada push a rama feature, automáticamente via GitHub Actions.</w:t>
      </w:r>
    </w:p>
    <w:p>
      <w:pPr>
        <w:spacing w:line="480" w:lineRule="auto" w:before="0" w:after="0"/>
        <w:jc w:val="left"/>
      </w:pPr>
      <w:r>
        <w:rPr>
          <w:rFonts w:ascii="Times New Roman" w:hAnsi="Times New Roman"/>
          <w:b/>
          <w:i w:val="0"/>
          <w:color w:val="000000"/>
          <w:sz w:val="24"/>
        </w:rPr>
        <w:t>3.2 Etapa 2: Pruebas de Integración End-to-End (Entorno de Staging)</w:t>
      </w:r>
    </w:p>
    <w:p>
      <w:pPr>
        <w:spacing w:line="480" w:lineRule="auto" w:before="0" w:after="0"/>
        <w:ind w:firstLine="720"/>
        <w:jc w:val="left"/>
      </w:pPr>
      <w:r>
        <w:rPr>
          <w:rFonts w:ascii="Times New Roman" w:hAnsi="Times New Roman"/>
          <w:b w:val="0"/>
          <w:i w:val="0"/>
          <w:color w:val="000000"/>
          <w:sz w:val="24"/>
        </w:rPr>
        <w:t>Objetivo: Validar flujos completos desde UI hasta blockchain. 40 casos de prueba (CP001–CP040) cubren todos los requisitos funcionales. Criterio de salida: 100% de casos ejecutados, ≥ 98% pasados, 0 defectos críticos. Entorno: Réplica de producción con datos de prueba. Herramienta: Playwright en modo headless sobre navegadores Chromium, Firefox, WebKit. Ejecución: Por cada PR fusionado a main (pre-despliegue a producción).</w:t>
      </w:r>
    </w:p>
    <w:p>
      <w:pPr>
        <w:spacing w:line="480" w:lineRule="auto" w:before="0" w:after="0"/>
        <w:jc w:val="left"/>
      </w:pPr>
      <w:r>
        <w:rPr>
          <w:rFonts w:ascii="Times New Roman" w:hAnsi="Times New Roman"/>
          <w:b/>
          <w:i w:val="0"/>
          <w:color w:val="000000"/>
          <w:sz w:val="24"/>
        </w:rPr>
        <w:t>3.3 Etapa 3: Pruebas de Sistema y Desempeño (Entorno de Staging Bajo Carga)</w:t>
      </w:r>
    </w:p>
    <w:p>
      <w:pPr>
        <w:spacing w:line="480" w:lineRule="auto" w:before="0" w:after="0"/>
        <w:ind w:firstLine="720"/>
        <w:jc w:val="left"/>
      </w:pPr>
      <w:r>
        <w:rPr>
          <w:rFonts w:ascii="Times New Roman" w:hAnsi="Times New Roman"/>
          <w:b w:val="0"/>
          <w:i w:val="0"/>
          <w:color w:val="000000"/>
          <w:sz w:val="24"/>
        </w:rPr>
        <w:t>Objetivo: Validar comportamiento del sistema completo bajo carga realista. Escenarios: 100, 500, 1,000 usuarios concurrentes. Criterio de salida: Latencia p95 &lt; 2,000 ms bajo 500 usuarios, disponibilidad ≥ 99.5%, tasa de error &lt; 0.1%. Herramienta: Apache JMeter con patrón de carga lineal ramp-up. Ejecución: Una vez por semana en ambiente de staging.</w:t>
      </w:r>
    </w:p>
    <w:p>
      <w:pPr>
        <w:spacing w:line="480" w:lineRule="auto" w:before="0" w:after="0"/>
        <w:jc w:val="left"/>
      </w:pPr>
      <w:r>
        <w:rPr>
          <w:rFonts w:ascii="Times New Roman" w:hAnsi="Times New Roman"/>
          <w:b/>
          <w:i w:val="0"/>
          <w:color w:val="000000"/>
          <w:sz w:val="24"/>
        </w:rPr>
        <w:t>3.4 Etapa 4: Pruebas de Aceptación de Usuario (UAT)</w:t>
      </w:r>
    </w:p>
    <w:p>
      <w:pPr>
        <w:spacing w:line="480" w:lineRule="auto" w:before="0" w:after="0"/>
        <w:ind w:firstLine="720"/>
        <w:jc w:val="left"/>
      </w:pPr>
      <w:r>
        <w:rPr>
          <w:rFonts w:ascii="Times New Roman" w:hAnsi="Times New Roman"/>
          <w:b w:val="0"/>
          <w:i w:val="0"/>
          <w:color w:val="000000"/>
          <w:sz w:val="24"/>
        </w:rPr>
        <w:t>Objetivo: Validar que el sistema cumple expectativas de usuarios finales. Participantes: 15 usuarios (docentes, coordinadores, administradores). Criterio de salida: Puntuación SUS ≥ 70/100, ≥ 80% de tareas completadas sin ayuda, firma de acta de aceptación. Instrumentos: Encuesta SUS (Brooke, 1996), observación de uso, entrevista semi-estructurada. Duración: 2–3 semanas.</w:t>
      </w:r>
    </w:p>
    <w:p>
      <w:pPr>
        <w:spacing w:line="480" w:lineRule="auto" w:before="0" w:after="0"/>
        <w:jc w:val="left"/>
      </w:pPr>
      <w:r>
        <w:rPr>
          <w:rFonts w:ascii="Times New Roman" w:hAnsi="Times New Roman"/>
          <w:b/>
          <w:i w:val="0"/>
          <w:color w:val="000000"/>
          <w:sz w:val="24"/>
        </w:rPr>
        <w:t>3.5 Etapa 5: Pruebas de Seguridad y Conformidad</w:t>
      </w:r>
    </w:p>
    <w:p>
      <w:pPr>
        <w:spacing w:line="480" w:lineRule="auto" w:before="0" w:after="0"/>
        <w:ind w:firstLine="720"/>
        <w:jc w:val="left"/>
      </w:pPr>
      <w:r>
        <w:rPr>
          <w:rFonts w:ascii="Times New Roman" w:hAnsi="Times New Roman"/>
          <w:b w:val="0"/>
          <w:i w:val="0"/>
          <w:color w:val="000000"/>
          <w:sz w:val="24"/>
        </w:rPr>
        <w:t>Objetivo: Validar ausencia de vulnerabilidades de seguridad y conformidad con estándares. Alcance: OWASP Top 10:2021, WCAG 2.1 AA, ISO 27001 (si aplica). Criterio de salida: 0 vulnerabilidades críticas, ≥ 95% conformidad WCAG AA. Herramientas: OWASP ZAP 2.14, axe-core, auditoría manual. Ejecución: Antes del go-live y mensual en producción.</w:t>
      </w:r>
    </w:p>
    <w:p>
      <w:r>
        <w:br w:type="page"/>
      </w:r>
    </w:p>
    <w:p>
      <w:pPr>
        <w:spacing w:line="480" w:lineRule="auto" w:before="0" w:after="0"/>
        <w:jc w:val="center"/>
      </w:pPr>
      <w:r>
        <w:rPr>
          <w:rFonts w:ascii="Times New Roman" w:hAnsi="Times New Roman"/>
          <w:b/>
          <w:i w:val="0"/>
          <w:color w:val="000000"/>
          <w:sz w:val="24"/>
        </w:rPr>
        <w:t>4. Matriz de Casos de Prueba (CP001–CP040)</w:t>
      </w:r>
    </w:p>
    <w:p>
      <w:pPr>
        <w:spacing w:line="480" w:lineRule="auto" w:before="0" w:after="0"/>
        <w:ind w:firstLine="720"/>
        <w:jc w:val="left"/>
      </w:pPr>
      <w:r>
        <w:rPr>
          <w:rFonts w:ascii="Times New Roman" w:hAnsi="Times New Roman"/>
          <w:b w:val="0"/>
          <w:i w:val="0"/>
          <w:color w:val="000000"/>
          <w:sz w:val="24"/>
        </w:rPr>
        <w:t>La Tabla 2 resume los 40 casos de prueba que constituyen la suite de validación funcional. Cada caso está documentado conforme a IEEE 829-2008 con: ID, descripción, precondiciones, pasos, resultado esperado, y severidad de defecto si falla.</w:t>
      </w:r>
    </w:p>
    <w:p>
      <w:pPr>
        <w:spacing w:line="480" w:lineRule="auto" w:before="0" w:after="0"/>
        <w:jc w:val="left"/>
      </w:pPr>
    </w:p>
    <w:p>
      <w:pPr>
        <w:spacing w:line="480" w:lineRule="auto"/>
        <w:jc w:val="center"/>
      </w:pPr>
      <w:r>
        <w:rPr>
          <w:rFonts w:ascii="Times New Roman" w:hAnsi="Times New Roman"/>
          <w:b w:val="0"/>
          <w:i w:val="0"/>
          <w:color w:val="000000"/>
          <w:sz w:val="24"/>
        </w:rPr>
        <w:t>Tabla 2</w:t>
      </w:r>
    </w:p>
    <w:p>
      <w:pPr>
        <w:spacing w:line="480" w:lineRule="auto"/>
        <w:jc w:val="left"/>
      </w:pPr>
      <w:r>
        <w:rPr>
          <w:rFonts w:ascii="Times New Roman" w:hAnsi="Times New Roman"/>
          <w:b w:val="0"/>
          <w:i/>
          <w:color w:val="000000"/>
          <w:sz w:val="24"/>
        </w:rPr>
        <w:t>Matriz Resumida de Casos de Prueba (CP001–CP040)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D0D0D0"/>
          </w:tcPr>
          <w:p>
            <w:pPr>
              <w:spacing w:before="40" w:after="40"/>
              <w:jc w:val="left"/>
            </w:pPr>
            <w:r/>
            <w:r>
              <w:rPr>
                <w:rFonts w:ascii="Times New Roman" w:hAnsi="Times New Roman"/>
                <w:b/>
                <w:color w:val="000000"/>
                <w:sz w:val="20"/>
              </w:rPr>
              <w:t>Épica</w:t>
            </w:r>
          </w:p>
        </w:tc>
        <w:tc>
          <w:tcPr>
            <w:tcW w:type="dxa" w:w="1584"/>
            <w:shd w:val="clear" w:color="auto" w:fill="D0D0D0"/>
          </w:tcPr>
          <w:p>
            <w:pPr>
              <w:spacing w:before="40" w:after="40"/>
              <w:jc w:val="left"/>
            </w:pPr>
            <w:r/>
            <w:r>
              <w:rPr>
                <w:rFonts w:ascii="Times New Roman" w:hAnsi="Times New Roman"/>
                <w:b/>
                <w:color w:val="000000"/>
                <w:sz w:val="20"/>
              </w:rPr>
              <w:t>Rango</w:t>
            </w:r>
          </w:p>
        </w:tc>
        <w:tc>
          <w:tcPr>
            <w:tcW w:type="dxa" w:w="2880"/>
            <w:shd w:val="clear" w:color="auto" w:fill="D0D0D0"/>
          </w:tcPr>
          <w:p>
            <w:pPr>
              <w:spacing w:before="40" w:after="40"/>
              <w:jc w:val="left"/>
            </w:pPr>
            <w:r/>
            <w:r>
              <w:rPr>
                <w:rFonts w:ascii="Times New Roman" w:hAnsi="Times New Roman"/>
                <w:b/>
                <w:color w:val="000000"/>
                <w:sz w:val="20"/>
              </w:rPr>
              <w:t>Descripción</w:t>
            </w:r>
          </w:p>
        </w:tc>
        <w:tc>
          <w:tcPr>
            <w:tcW w:type="dxa" w:w="1584"/>
            <w:shd w:val="clear" w:color="auto" w:fill="D0D0D0"/>
          </w:tcPr>
          <w:p>
            <w:pPr>
              <w:spacing w:before="40" w:after="40"/>
              <w:jc w:val="left"/>
            </w:pPr>
            <w:r/>
            <w:r>
              <w:rPr>
                <w:rFonts w:ascii="Times New Roman" w:hAnsi="Times New Roman"/>
                <w:b/>
                <w:color w:val="000000"/>
                <w:sz w:val="20"/>
              </w:rPr>
              <w:t>Casos</w:t>
            </w:r>
          </w:p>
        </w:tc>
        <w:tc>
          <w:tcPr>
            <w:tcW w:type="dxa" w:w="2304"/>
            <w:shd w:val="clear" w:color="auto" w:fill="D0D0D0"/>
          </w:tcPr>
          <w:p>
            <w:pPr>
              <w:spacing w:before="40" w:after="40"/>
              <w:jc w:val="left"/>
            </w:pPr>
            <w:r/>
            <w:r>
              <w:rPr>
                <w:rFonts w:ascii="Times New Roman" w:hAnsi="Times New Roman"/>
                <w:b/>
                <w:color w:val="000000"/>
                <w:sz w:val="20"/>
              </w:rPr>
              <w:t>Estado Esperado</w:t>
            </w:r>
          </w:p>
        </w:tc>
      </w:tr>
      <w:tr>
        <w:tc>
          <w:tcPr>
            <w:tcW w:type="dxa" w:w="2160"/>
          </w:tcPr>
          <w:p>
            <w:pPr>
              <w:spacing w:before="40" w:after="40"/>
              <w:jc w:val="left"/>
            </w:pPr>
            <w:r/>
            <w:r>
              <w:rPr>
                <w:rFonts w:ascii="Times New Roman" w:hAnsi="Times New Roman"/>
                <w:b w:val="0"/>
                <w:color w:val="000000"/>
                <w:sz w:val="20"/>
              </w:rPr>
              <w:t>E1: Autenticación y RBAC</w:t>
            </w:r>
          </w:p>
        </w:tc>
        <w:tc>
          <w:tcPr>
            <w:tcW w:type="dxa" w:w="1584"/>
          </w:tcPr>
          <w:p>
            <w:pPr>
              <w:spacing w:before="40" w:after="40"/>
              <w:jc w:val="left"/>
            </w:pPr>
            <w:r/>
            <w:r>
              <w:rPr>
                <w:rFonts w:ascii="Times New Roman" w:hAnsi="Times New Roman"/>
                <w:b w:val="0"/>
                <w:color w:val="000000"/>
                <w:sz w:val="20"/>
              </w:rPr>
              <w:t>CP001–CP005</w:t>
            </w:r>
          </w:p>
        </w:tc>
        <w:tc>
          <w:tcPr>
            <w:tcW w:type="dxa" w:w="2880"/>
          </w:tcPr>
          <w:p>
            <w:pPr>
              <w:spacing w:before="40" w:after="40"/>
              <w:jc w:val="left"/>
            </w:pPr>
            <w:r/>
            <w:r>
              <w:rPr>
                <w:rFonts w:ascii="Times New Roman" w:hAnsi="Times New Roman"/>
                <w:b w:val="0"/>
                <w:color w:val="000000"/>
                <w:sz w:val="20"/>
              </w:rPr>
              <w:t>Registro, login, recuperación, roles</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Todos PASADOS</w:t>
            </w:r>
          </w:p>
        </w:tc>
      </w:tr>
      <w:tr>
        <w:tc>
          <w:tcPr>
            <w:tcW w:type="dxa" w:w="2160"/>
          </w:tcPr>
          <w:p>
            <w:pPr>
              <w:spacing w:before="40" w:after="40"/>
              <w:jc w:val="left"/>
            </w:pPr>
            <w:r/>
            <w:r>
              <w:rPr>
                <w:rFonts w:ascii="Times New Roman" w:hAnsi="Times New Roman"/>
                <w:b w:val="0"/>
                <w:color w:val="000000"/>
                <w:sz w:val="20"/>
              </w:rPr>
              <w:t>E2: Catálogo Académico</w:t>
            </w:r>
          </w:p>
        </w:tc>
        <w:tc>
          <w:tcPr>
            <w:tcW w:type="dxa" w:w="1584"/>
          </w:tcPr>
          <w:p>
            <w:pPr>
              <w:spacing w:before="40" w:after="40"/>
              <w:jc w:val="left"/>
            </w:pPr>
            <w:r/>
            <w:r>
              <w:rPr>
                <w:rFonts w:ascii="Times New Roman" w:hAnsi="Times New Roman"/>
                <w:b w:val="0"/>
                <w:color w:val="000000"/>
                <w:sz w:val="20"/>
              </w:rPr>
              <w:t>CP006–CP010</w:t>
            </w:r>
          </w:p>
        </w:tc>
        <w:tc>
          <w:tcPr>
            <w:tcW w:type="dxa" w:w="2880"/>
          </w:tcPr>
          <w:p>
            <w:pPr>
              <w:spacing w:before="40" w:after="40"/>
              <w:jc w:val="left"/>
            </w:pPr>
            <w:r/>
            <w:r>
              <w:rPr>
                <w:rFonts w:ascii="Times New Roman" w:hAnsi="Times New Roman"/>
                <w:b w:val="0"/>
                <w:color w:val="000000"/>
                <w:sz w:val="20"/>
              </w:rPr>
              <w:t>CRUD Carreras, Mallas, Cursos</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Todos PASADOS</w:t>
            </w:r>
          </w:p>
        </w:tc>
      </w:tr>
      <w:tr>
        <w:tc>
          <w:tcPr>
            <w:tcW w:type="dxa" w:w="2160"/>
          </w:tcPr>
          <w:p>
            <w:pPr>
              <w:spacing w:before="40" w:after="40"/>
              <w:jc w:val="left"/>
            </w:pPr>
            <w:r/>
            <w:r>
              <w:rPr>
                <w:rFonts w:ascii="Times New Roman" w:hAnsi="Times New Roman"/>
                <w:b w:val="0"/>
                <w:color w:val="000000"/>
                <w:sz w:val="20"/>
              </w:rPr>
              <w:t>E3: CRUD Avanzado</w:t>
            </w:r>
          </w:p>
        </w:tc>
        <w:tc>
          <w:tcPr>
            <w:tcW w:type="dxa" w:w="1584"/>
          </w:tcPr>
          <w:p>
            <w:pPr>
              <w:spacing w:before="40" w:after="40"/>
              <w:jc w:val="left"/>
            </w:pPr>
            <w:r/>
            <w:r>
              <w:rPr>
                <w:rFonts w:ascii="Times New Roman" w:hAnsi="Times New Roman"/>
                <w:b w:val="0"/>
                <w:color w:val="000000"/>
                <w:sz w:val="20"/>
              </w:rPr>
              <w:t>CP011–CP015</w:t>
            </w:r>
          </w:p>
        </w:tc>
        <w:tc>
          <w:tcPr>
            <w:tcW w:type="dxa" w:w="2880"/>
          </w:tcPr>
          <w:p>
            <w:pPr>
              <w:spacing w:before="40" w:after="40"/>
              <w:jc w:val="left"/>
            </w:pPr>
            <w:r/>
            <w:r>
              <w:rPr>
                <w:rFonts w:ascii="Times New Roman" w:hAnsi="Times New Roman"/>
                <w:b w:val="0"/>
                <w:color w:val="000000"/>
                <w:sz w:val="20"/>
              </w:rPr>
              <w:t>Validaciones, busca, filtrado, UX</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Todos PASADOS</w:t>
            </w:r>
          </w:p>
        </w:tc>
      </w:tr>
      <w:tr>
        <w:tc>
          <w:tcPr>
            <w:tcW w:type="dxa" w:w="2160"/>
          </w:tcPr>
          <w:p>
            <w:pPr>
              <w:spacing w:before="40" w:after="40"/>
              <w:jc w:val="left"/>
            </w:pPr>
            <w:r/>
            <w:r>
              <w:rPr>
                <w:rFonts w:ascii="Times New Roman" w:hAnsi="Times New Roman"/>
                <w:b w:val="0"/>
                <w:color w:val="000000"/>
                <w:sz w:val="20"/>
              </w:rPr>
              <w:t>E4: Sílabos + Blockchain</w:t>
            </w:r>
          </w:p>
        </w:tc>
        <w:tc>
          <w:tcPr>
            <w:tcW w:type="dxa" w:w="1584"/>
          </w:tcPr>
          <w:p>
            <w:pPr>
              <w:spacing w:before="40" w:after="40"/>
              <w:jc w:val="left"/>
            </w:pPr>
            <w:r/>
            <w:r>
              <w:rPr>
                <w:rFonts w:ascii="Times New Roman" w:hAnsi="Times New Roman"/>
                <w:b w:val="0"/>
                <w:color w:val="000000"/>
                <w:sz w:val="20"/>
              </w:rPr>
              <w:t>CP016–CP020</w:t>
            </w:r>
          </w:p>
        </w:tc>
        <w:tc>
          <w:tcPr>
            <w:tcW w:type="dxa" w:w="2880"/>
          </w:tcPr>
          <w:p>
            <w:pPr>
              <w:spacing w:before="40" w:after="40"/>
              <w:jc w:val="left"/>
            </w:pPr>
            <w:r/>
            <w:r>
              <w:rPr>
                <w:rFonts w:ascii="Times New Roman" w:hAnsi="Times New Roman"/>
                <w:b w:val="0"/>
                <w:color w:val="000000"/>
                <w:sz w:val="20"/>
              </w:rPr>
              <w:t>Gestión sílabos, Fabric, carga masiva</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Todos PASADOS</w:t>
            </w:r>
          </w:p>
        </w:tc>
      </w:tr>
      <w:tr>
        <w:tc>
          <w:tcPr>
            <w:tcW w:type="dxa" w:w="2160"/>
          </w:tcPr>
          <w:p>
            <w:pPr>
              <w:spacing w:before="40" w:after="40"/>
              <w:jc w:val="left"/>
            </w:pPr>
            <w:r/>
            <w:r>
              <w:rPr>
                <w:rFonts w:ascii="Times New Roman" w:hAnsi="Times New Roman"/>
                <w:b w:val="0"/>
                <w:color w:val="000000"/>
                <w:sz w:val="20"/>
              </w:rPr>
              <w:t>Portabilidad</w:t>
            </w:r>
          </w:p>
        </w:tc>
        <w:tc>
          <w:tcPr>
            <w:tcW w:type="dxa" w:w="1584"/>
          </w:tcPr>
          <w:p>
            <w:pPr>
              <w:spacing w:before="40" w:after="40"/>
              <w:jc w:val="left"/>
            </w:pPr>
            <w:r/>
            <w:r>
              <w:rPr>
                <w:rFonts w:ascii="Times New Roman" w:hAnsi="Times New Roman"/>
                <w:b w:val="0"/>
                <w:color w:val="000000"/>
                <w:sz w:val="20"/>
              </w:rPr>
              <w:t>CP021–CP030</w:t>
            </w:r>
          </w:p>
        </w:tc>
        <w:tc>
          <w:tcPr>
            <w:tcW w:type="dxa" w:w="2880"/>
          </w:tcPr>
          <w:p>
            <w:pPr>
              <w:spacing w:before="40" w:after="40"/>
              <w:jc w:val="left"/>
            </w:pPr>
            <w:r/>
            <w:r>
              <w:rPr>
                <w:rFonts w:ascii="Times New Roman" w:hAnsi="Times New Roman"/>
                <w:b w:val="0"/>
                <w:color w:val="000000"/>
                <w:sz w:val="20"/>
              </w:rPr>
              <w:t>Cross-browser (Chrome, Firefox, Safari)</w:t>
            </w:r>
          </w:p>
        </w:tc>
        <w:tc>
          <w:tcPr>
            <w:tcW w:type="dxa" w:w="1584"/>
          </w:tcPr>
          <w:p>
            <w:pPr>
              <w:spacing w:before="40" w:after="40"/>
              <w:jc w:val="left"/>
            </w:pPr>
            <w:r/>
            <w:r>
              <w:rPr>
                <w:rFonts w:ascii="Times New Roman" w:hAnsi="Times New Roman"/>
                <w:b w:val="0"/>
                <w:color w:val="000000"/>
                <w:sz w:val="20"/>
              </w:rPr>
              <w:t>10</w:t>
            </w:r>
          </w:p>
        </w:tc>
        <w:tc>
          <w:tcPr>
            <w:tcW w:type="dxa" w:w="2304"/>
          </w:tcPr>
          <w:p>
            <w:pPr>
              <w:spacing w:before="40" w:after="40"/>
              <w:jc w:val="left"/>
            </w:pPr>
            <w:r/>
            <w:r>
              <w:rPr>
                <w:rFonts w:ascii="Times New Roman" w:hAnsi="Times New Roman"/>
                <w:b w:val="0"/>
                <w:color w:val="000000"/>
                <w:sz w:val="20"/>
              </w:rPr>
              <w:t>Todos PASADOS</w:t>
            </w:r>
          </w:p>
        </w:tc>
      </w:tr>
      <w:tr>
        <w:tc>
          <w:tcPr>
            <w:tcW w:type="dxa" w:w="2160"/>
          </w:tcPr>
          <w:p>
            <w:pPr>
              <w:spacing w:before="40" w:after="40"/>
              <w:jc w:val="left"/>
            </w:pPr>
            <w:r/>
            <w:r>
              <w:rPr>
                <w:rFonts w:ascii="Times New Roman" w:hAnsi="Times New Roman"/>
                <w:b w:val="0"/>
                <w:color w:val="000000"/>
                <w:sz w:val="20"/>
              </w:rPr>
              <w:t>Desempeño</w:t>
            </w:r>
          </w:p>
        </w:tc>
        <w:tc>
          <w:tcPr>
            <w:tcW w:type="dxa" w:w="1584"/>
          </w:tcPr>
          <w:p>
            <w:pPr>
              <w:spacing w:before="40" w:after="40"/>
              <w:jc w:val="left"/>
            </w:pPr>
            <w:r/>
            <w:r>
              <w:rPr>
                <w:rFonts w:ascii="Times New Roman" w:hAnsi="Times New Roman"/>
                <w:b w:val="0"/>
                <w:color w:val="000000"/>
                <w:sz w:val="20"/>
              </w:rPr>
              <w:t>CP031–CP035</w:t>
            </w:r>
          </w:p>
        </w:tc>
        <w:tc>
          <w:tcPr>
            <w:tcW w:type="dxa" w:w="2880"/>
          </w:tcPr>
          <w:p>
            <w:pPr>
              <w:spacing w:before="40" w:after="40"/>
              <w:jc w:val="left"/>
            </w:pPr>
            <w:r/>
            <w:r>
              <w:rPr>
                <w:rFonts w:ascii="Times New Roman" w:hAnsi="Times New Roman"/>
                <w:b w:val="0"/>
                <w:color w:val="000000"/>
                <w:sz w:val="20"/>
              </w:rPr>
              <w:t>Carga 100/500/1000 usuarios, latencia</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Latencia p95 &lt; 2s @ 500u</w:t>
            </w:r>
          </w:p>
        </w:tc>
      </w:tr>
      <w:tr>
        <w:tc>
          <w:tcPr>
            <w:tcW w:type="dxa" w:w="2160"/>
          </w:tcPr>
          <w:p>
            <w:pPr>
              <w:spacing w:before="40" w:after="40"/>
              <w:jc w:val="left"/>
            </w:pPr>
            <w:r/>
            <w:r>
              <w:rPr>
                <w:rFonts w:ascii="Times New Roman" w:hAnsi="Times New Roman"/>
                <w:b w:val="0"/>
                <w:color w:val="000000"/>
                <w:sz w:val="20"/>
              </w:rPr>
              <w:t>Seguridad</w:t>
            </w:r>
          </w:p>
        </w:tc>
        <w:tc>
          <w:tcPr>
            <w:tcW w:type="dxa" w:w="1584"/>
          </w:tcPr>
          <w:p>
            <w:pPr>
              <w:spacing w:before="40" w:after="40"/>
              <w:jc w:val="left"/>
            </w:pPr>
            <w:r/>
            <w:r>
              <w:rPr>
                <w:rFonts w:ascii="Times New Roman" w:hAnsi="Times New Roman"/>
                <w:b w:val="0"/>
                <w:color w:val="000000"/>
                <w:sz w:val="20"/>
              </w:rPr>
              <w:t>CP036–CP040</w:t>
            </w:r>
          </w:p>
        </w:tc>
        <w:tc>
          <w:tcPr>
            <w:tcW w:type="dxa" w:w="2880"/>
          </w:tcPr>
          <w:p>
            <w:pPr>
              <w:spacing w:before="40" w:after="40"/>
              <w:jc w:val="left"/>
            </w:pPr>
            <w:r/>
            <w:r>
              <w:rPr>
                <w:rFonts w:ascii="Times New Roman" w:hAnsi="Times New Roman"/>
                <w:b w:val="0"/>
                <w:color w:val="000000"/>
                <w:sz w:val="20"/>
              </w:rPr>
              <w:t>OWASP, JWT, TLS, integridad blockchain</w:t>
            </w:r>
          </w:p>
        </w:tc>
        <w:tc>
          <w:tcPr>
            <w:tcW w:type="dxa" w:w="1584"/>
          </w:tcPr>
          <w:p>
            <w:pPr>
              <w:spacing w:before="40" w:after="40"/>
              <w:jc w:val="left"/>
            </w:pPr>
            <w:r/>
            <w:r>
              <w:rPr>
                <w:rFonts w:ascii="Times New Roman" w:hAnsi="Times New Roman"/>
                <w:b w:val="0"/>
                <w:color w:val="000000"/>
                <w:sz w:val="20"/>
              </w:rPr>
              <w:t>5</w:t>
            </w:r>
          </w:p>
        </w:tc>
        <w:tc>
          <w:tcPr>
            <w:tcW w:type="dxa" w:w="2304"/>
          </w:tcPr>
          <w:p>
            <w:pPr>
              <w:spacing w:before="40" w:after="40"/>
              <w:jc w:val="left"/>
            </w:pPr>
            <w:r/>
            <w:r>
              <w:rPr>
                <w:rFonts w:ascii="Times New Roman" w:hAnsi="Times New Roman"/>
                <w:b w:val="0"/>
                <w:color w:val="000000"/>
                <w:sz w:val="20"/>
              </w:rPr>
              <w:t>0 vulnerabilidades críticas</w:t>
            </w:r>
          </w:p>
        </w:tc>
      </w:tr>
      <w:tr>
        <w:tc>
          <w:tcPr>
            <w:tcW w:type="dxa" w:w="2160"/>
          </w:tcPr>
          <w:p>
            <w:pPr>
              <w:spacing w:before="40" w:after="40"/>
              <w:jc w:val="left"/>
            </w:pPr>
            <w:r/>
            <w:r>
              <w:rPr>
                <w:rFonts w:ascii="Times New Roman" w:hAnsi="Times New Roman"/>
                <w:b w:val="0"/>
                <w:color w:val="000000"/>
                <w:sz w:val="20"/>
              </w:rPr>
              <w:t>Total</w:t>
            </w:r>
          </w:p>
        </w:tc>
        <w:tc>
          <w:tcPr>
            <w:tcW w:type="dxa" w:w="1584"/>
          </w:tcPr>
          <w:p>
            <w:pPr>
              <w:spacing w:before="40" w:after="40"/>
              <w:jc w:val="left"/>
            </w:pPr>
            <w:r/>
            <w:r>
              <w:rPr>
                <w:rFonts w:ascii="Times New Roman" w:hAnsi="Times New Roman"/>
                <w:b w:val="0"/>
                <w:color w:val="000000"/>
                <w:sz w:val="20"/>
              </w:rPr>
              <w:t>CP001–CP040</w:t>
            </w:r>
          </w:p>
        </w:tc>
        <w:tc>
          <w:tcPr>
            <w:tcW w:type="dxa" w:w="2880"/>
          </w:tcPr>
          <w:p>
            <w:pPr>
              <w:spacing w:before="40" w:after="40"/>
              <w:jc w:val="left"/>
            </w:pPr>
            <w:r/>
            <w:r>
              <w:rPr>
                <w:rFonts w:ascii="Times New Roman" w:hAnsi="Times New Roman"/>
                <w:b w:val="0"/>
                <w:color w:val="000000"/>
                <w:sz w:val="20"/>
              </w:rPr>
              <w:t>—</w:t>
            </w:r>
          </w:p>
        </w:tc>
        <w:tc>
          <w:tcPr>
            <w:tcW w:type="dxa" w:w="1584"/>
          </w:tcPr>
          <w:p>
            <w:pPr>
              <w:spacing w:before="40" w:after="40"/>
              <w:jc w:val="left"/>
            </w:pPr>
            <w:r/>
            <w:r>
              <w:rPr>
                <w:rFonts w:ascii="Times New Roman" w:hAnsi="Times New Roman"/>
                <w:b w:val="0"/>
                <w:color w:val="000000"/>
                <w:sz w:val="20"/>
              </w:rPr>
              <w:t>40</w:t>
            </w:r>
          </w:p>
        </w:tc>
        <w:tc>
          <w:tcPr>
            <w:tcW w:type="dxa" w:w="2304"/>
          </w:tcPr>
          <w:p>
            <w:pPr>
              <w:spacing w:before="40" w:after="40"/>
              <w:jc w:val="left"/>
            </w:pPr>
            <w:r/>
            <w:r>
              <w:rPr>
                <w:rFonts w:ascii="Times New Roman" w:hAnsi="Times New Roman"/>
                <w:b w:val="0"/>
                <w:color w:val="000000"/>
                <w:sz w:val="20"/>
              </w:rPr>
              <w:t>≥ 39 PASADOS (98%)</w:t>
            </w:r>
          </w:p>
        </w:tc>
      </w:tr>
    </w:tbl>
    <w:p>
      <w:pPr>
        <w:spacing w:line="480" w:lineRule="auto" w:before="0" w:after="0"/>
        <w:jc w:val="center"/>
      </w:pPr>
      <w:r>
        <w:rPr>
          <w:rFonts w:ascii="Times New Roman" w:hAnsi="Times New Roman"/>
          <w:b/>
          <w:i w:val="0"/>
          <w:color w:val="000000"/>
          <w:sz w:val="24"/>
        </w:rPr>
        <w:t>5. Criterios de Aceptación Global</w:t>
      </w:r>
    </w:p>
    <w:p>
      <w:pPr>
        <w:spacing w:line="480" w:lineRule="auto" w:before="0" w:after="0"/>
        <w:ind w:firstLine="720"/>
        <w:jc w:val="left"/>
      </w:pPr>
      <w:r>
        <w:rPr>
          <w:rFonts w:ascii="Times New Roman" w:hAnsi="Times New Roman"/>
          <w:b w:val="0"/>
          <w:i w:val="0"/>
          <w:color w:val="000000"/>
          <w:sz w:val="24"/>
        </w:rPr>
        <w:t>SilaDocs será certificado como "Apto para Producción" si y solo si cumple TODOS los criterios de la Tabla 3.</w:t>
      </w:r>
    </w:p>
    <w:p>
      <w:pPr>
        <w:spacing w:line="480" w:lineRule="auto" w:before="0" w:after="0"/>
        <w:jc w:val="left"/>
      </w:pPr>
    </w:p>
    <w:p>
      <w:pPr>
        <w:spacing w:line="480" w:lineRule="auto"/>
        <w:jc w:val="center"/>
      </w:pPr>
      <w:r>
        <w:rPr>
          <w:rFonts w:ascii="Times New Roman" w:hAnsi="Times New Roman"/>
          <w:b w:val="0"/>
          <w:i w:val="0"/>
          <w:color w:val="000000"/>
          <w:sz w:val="24"/>
        </w:rPr>
        <w:t>Tabla 3</w:t>
      </w:r>
    </w:p>
    <w:p>
      <w:pPr>
        <w:spacing w:line="480" w:lineRule="auto"/>
        <w:jc w:val="left"/>
      </w:pPr>
      <w:r>
        <w:rPr>
          <w:rFonts w:ascii="Times New Roman" w:hAnsi="Times New Roman"/>
          <w:b w:val="0"/>
          <w:i/>
          <w:color w:val="000000"/>
          <w:sz w:val="24"/>
        </w:rPr>
        <w:t>Criterios de Aceptación para Certificación de Producción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D0D0D0"/>
          </w:tcPr>
          <w:p>
            <w:pPr>
              <w:spacing w:before="40" w:after="40"/>
              <w:jc w:val="left"/>
            </w:pPr>
            <w:r/>
            <w:r>
              <w:rPr>
                <w:rFonts w:ascii="Times New Roman" w:hAnsi="Times New Roman"/>
                <w:b/>
                <w:color w:val="000000"/>
                <w:sz w:val="20"/>
              </w:rPr>
              <w:t>Aspecto</w:t>
            </w:r>
          </w:p>
        </w:tc>
        <w:tc>
          <w:tcPr>
            <w:tcW w:type="dxa" w:w="3168"/>
            <w:shd w:val="clear" w:color="auto" w:fill="D0D0D0"/>
          </w:tcPr>
          <w:p>
            <w:pPr>
              <w:spacing w:before="40" w:after="40"/>
              <w:jc w:val="left"/>
            </w:pPr>
            <w:r/>
            <w:r>
              <w:rPr>
                <w:rFonts w:ascii="Times New Roman" w:hAnsi="Times New Roman"/>
                <w:b/>
                <w:color w:val="000000"/>
                <w:sz w:val="20"/>
              </w:rPr>
              <w:t>Criterio</w:t>
            </w:r>
          </w:p>
        </w:tc>
        <w:tc>
          <w:tcPr>
            <w:tcW w:type="dxa" w:w="2016"/>
            <w:shd w:val="clear" w:color="auto" w:fill="D0D0D0"/>
          </w:tcPr>
          <w:p>
            <w:pPr>
              <w:spacing w:before="40" w:after="40"/>
              <w:jc w:val="left"/>
            </w:pPr>
            <w:r/>
            <w:r>
              <w:rPr>
                <w:rFonts w:ascii="Times New Roman" w:hAnsi="Times New Roman"/>
                <w:b/>
                <w:color w:val="000000"/>
                <w:sz w:val="20"/>
              </w:rPr>
              <w:t>Umbral</w:t>
            </w:r>
          </w:p>
        </w:tc>
        <w:tc>
          <w:tcPr>
            <w:tcW w:type="dxa" w:w="2304"/>
            <w:shd w:val="clear" w:color="auto" w:fill="D0D0D0"/>
          </w:tcPr>
          <w:p>
            <w:pPr>
              <w:spacing w:before="40" w:after="40"/>
              <w:jc w:val="left"/>
            </w:pPr>
            <w:r/>
            <w:r>
              <w:rPr>
                <w:rFonts w:ascii="Times New Roman" w:hAnsi="Times New Roman"/>
                <w:b/>
                <w:color w:val="000000"/>
                <w:sz w:val="20"/>
              </w:rPr>
              <w:t>Responsable</w:t>
            </w:r>
          </w:p>
        </w:tc>
      </w:tr>
      <w:tr>
        <w:tc>
          <w:tcPr>
            <w:tcW w:type="dxa" w:w="2160"/>
          </w:tcPr>
          <w:p>
            <w:pPr>
              <w:spacing w:before="40" w:after="40"/>
              <w:jc w:val="left"/>
            </w:pPr>
            <w:r/>
            <w:r>
              <w:rPr>
                <w:rFonts w:ascii="Times New Roman" w:hAnsi="Times New Roman"/>
                <w:b w:val="0"/>
                <w:color w:val="000000"/>
                <w:sz w:val="20"/>
              </w:rPr>
              <w:t>Funcionalidad</w:t>
            </w:r>
          </w:p>
        </w:tc>
        <w:tc>
          <w:tcPr>
            <w:tcW w:type="dxa" w:w="3168"/>
          </w:tcPr>
          <w:p>
            <w:pPr>
              <w:spacing w:before="40" w:after="40"/>
              <w:jc w:val="left"/>
            </w:pPr>
            <w:r/>
            <w:r>
              <w:rPr>
                <w:rFonts w:ascii="Times New Roman" w:hAnsi="Times New Roman"/>
                <w:b w:val="0"/>
                <w:color w:val="000000"/>
                <w:sz w:val="20"/>
              </w:rPr>
              <w:t>Casos de prueba (CP001–CP020) ejecutados y pasados</w:t>
            </w:r>
          </w:p>
        </w:tc>
        <w:tc>
          <w:tcPr>
            <w:tcW w:type="dxa" w:w="2016"/>
          </w:tcPr>
          <w:p>
            <w:pPr>
              <w:spacing w:before="40" w:after="40"/>
              <w:jc w:val="left"/>
            </w:pPr>
            <w:r/>
            <w:r>
              <w:rPr>
                <w:rFonts w:ascii="Times New Roman" w:hAnsi="Times New Roman"/>
                <w:b w:val="0"/>
                <w:color w:val="000000"/>
                <w:sz w:val="20"/>
              </w:rPr>
              <w:t>≥ 98%</w:t>
            </w:r>
          </w:p>
        </w:tc>
        <w:tc>
          <w:tcPr>
            <w:tcW w:type="dxa" w:w="2304"/>
          </w:tcPr>
          <w:p>
            <w:pPr>
              <w:spacing w:before="40" w:after="40"/>
              <w:jc w:val="left"/>
            </w:pPr>
            <w:r/>
            <w:r>
              <w:rPr>
                <w:rFonts w:ascii="Times New Roman" w:hAnsi="Times New Roman"/>
                <w:b w:val="0"/>
                <w:color w:val="000000"/>
                <w:sz w:val="20"/>
              </w:rPr>
              <w:t>QA Engineer</w:t>
            </w:r>
          </w:p>
        </w:tc>
      </w:tr>
      <w:tr>
        <w:tc>
          <w:tcPr>
            <w:tcW w:type="dxa" w:w="2160"/>
          </w:tcPr>
          <w:p>
            <w:pPr>
              <w:spacing w:before="40" w:after="40"/>
              <w:jc w:val="left"/>
            </w:pPr>
            <w:r/>
            <w:r>
              <w:rPr>
                <w:rFonts w:ascii="Times New Roman" w:hAnsi="Times New Roman"/>
                <w:b w:val="0"/>
                <w:color w:val="000000"/>
                <w:sz w:val="20"/>
              </w:rPr>
              <w:t>Seguridad</w:t>
            </w:r>
          </w:p>
        </w:tc>
        <w:tc>
          <w:tcPr>
            <w:tcW w:type="dxa" w:w="3168"/>
          </w:tcPr>
          <w:p>
            <w:pPr>
              <w:spacing w:before="40" w:after="40"/>
              <w:jc w:val="left"/>
            </w:pPr>
            <w:r/>
            <w:r>
              <w:rPr>
                <w:rFonts w:ascii="Times New Roman" w:hAnsi="Times New Roman"/>
                <w:b w:val="0"/>
                <w:color w:val="000000"/>
                <w:sz w:val="20"/>
              </w:rPr>
              <w:t>Vulnerabilidades OWASP críticas encontradas</w:t>
            </w:r>
          </w:p>
        </w:tc>
        <w:tc>
          <w:tcPr>
            <w:tcW w:type="dxa" w:w="2016"/>
          </w:tcPr>
          <w:p>
            <w:pPr>
              <w:spacing w:before="40" w:after="40"/>
              <w:jc w:val="left"/>
            </w:pPr>
            <w:r/>
            <w:r>
              <w:rPr>
                <w:rFonts w:ascii="Times New Roman" w:hAnsi="Times New Roman"/>
                <w:b w:val="0"/>
                <w:color w:val="000000"/>
                <w:sz w:val="20"/>
              </w:rPr>
              <w:t>0</w:t>
            </w:r>
          </w:p>
        </w:tc>
        <w:tc>
          <w:tcPr>
            <w:tcW w:type="dxa" w:w="2304"/>
          </w:tcPr>
          <w:p>
            <w:pPr>
              <w:spacing w:before="40" w:after="40"/>
              <w:jc w:val="left"/>
            </w:pPr>
            <w:r/>
            <w:r>
              <w:rPr>
                <w:rFonts w:ascii="Times New Roman" w:hAnsi="Times New Roman"/>
                <w:b w:val="0"/>
                <w:color w:val="000000"/>
                <w:sz w:val="20"/>
              </w:rPr>
              <w:t>Security Team</w:t>
            </w:r>
          </w:p>
        </w:tc>
      </w:tr>
      <w:tr>
        <w:tc>
          <w:tcPr>
            <w:tcW w:type="dxa" w:w="2160"/>
          </w:tcPr>
          <w:p>
            <w:pPr>
              <w:spacing w:before="40" w:after="40"/>
              <w:jc w:val="left"/>
            </w:pPr>
            <w:r/>
            <w:r>
              <w:rPr>
                <w:rFonts w:ascii="Times New Roman" w:hAnsi="Times New Roman"/>
                <w:b w:val="0"/>
                <w:color w:val="000000"/>
                <w:sz w:val="20"/>
              </w:rPr>
              <w:t>Desempeño</w:t>
            </w:r>
          </w:p>
        </w:tc>
        <w:tc>
          <w:tcPr>
            <w:tcW w:type="dxa" w:w="3168"/>
          </w:tcPr>
          <w:p>
            <w:pPr>
              <w:spacing w:before="40" w:after="40"/>
              <w:jc w:val="left"/>
            </w:pPr>
            <w:r/>
            <w:r>
              <w:rPr>
                <w:rFonts w:ascii="Times New Roman" w:hAnsi="Times New Roman"/>
                <w:b w:val="0"/>
                <w:color w:val="000000"/>
                <w:sz w:val="20"/>
              </w:rPr>
              <w:t>Latencia p95 bajo 500 usuarios concurrentes</w:t>
            </w:r>
          </w:p>
        </w:tc>
        <w:tc>
          <w:tcPr>
            <w:tcW w:type="dxa" w:w="2016"/>
          </w:tcPr>
          <w:p>
            <w:pPr>
              <w:spacing w:before="40" w:after="40"/>
              <w:jc w:val="left"/>
            </w:pPr>
            <w:r/>
            <w:r>
              <w:rPr>
                <w:rFonts w:ascii="Times New Roman" w:hAnsi="Times New Roman"/>
                <w:b w:val="0"/>
                <w:color w:val="000000"/>
                <w:sz w:val="20"/>
              </w:rPr>
              <w:t>&lt; 2,000 ms</w:t>
            </w:r>
          </w:p>
        </w:tc>
        <w:tc>
          <w:tcPr>
            <w:tcW w:type="dxa" w:w="2304"/>
          </w:tcPr>
          <w:p>
            <w:pPr>
              <w:spacing w:before="40" w:after="40"/>
              <w:jc w:val="left"/>
            </w:pPr>
            <w:r/>
            <w:r>
              <w:rPr>
                <w:rFonts w:ascii="Times New Roman" w:hAnsi="Times New Roman"/>
                <w:b w:val="0"/>
                <w:color w:val="000000"/>
                <w:sz w:val="20"/>
              </w:rPr>
              <w:t>Ops Engineer</w:t>
            </w:r>
          </w:p>
        </w:tc>
      </w:tr>
      <w:tr>
        <w:tc>
          <w:tcPr>
            <w:tcW w:type="dxa" w:w="2160"/>
          </w:tcPr>
          <w:p>
            <w:pPr>
              <w:spacing w:before="40" w:after="40"/>
              <w:jc w:val="left"/>
            </w:pPr>
            <w:r/>
            <w:r>
              <w:rPr>
                <w:rFonts w:ascii="Times New Roman" w:hAnsi="Times New Roman"/>
                <w:b w:val="0"/>
                <w:color w:val="000000"/>
                <w:sz w:val="20"/>
              </w:rPr>
              <w:t>Disponibilidad</w:t>
            </w:r>
          </w:p>
        </w:tc>
        <w:tc>
          <w:tcPr>
            <w:tcW w:type="dxa" w:w="3168"/>
          </w:tcPr>
          <w:p>
            <w:pPr>
              <w:spacing w:before="40" w:after="40"/>
              <w:jc w:val="left"/>
            </w:pPr>
            <w:r/>
            <w:r>
              <w:rPr>
                <w:rFonts w:ascii="Times New Roman" w:hAnsi="Times New Roman"/>
                <w:b w:val="0"/>
                <w:color w:val="000000"/>
                <w:sz w:val="20"/>
              </w:rPr>
              <w:t>Uptime durante 72 h de smoke testing</w:t>
            </w:r>
          </w:p>
        </w:tc>
        <w:tc>
          <w:tcPr>
            <w:tcW w:type="dxa" w:w="2016"/>
          </w:tcPr>
          <w:p>
            <w:pPr>
              <w:spacing w:before="40" w:after="40"/>
              <w:jc w:val="left"/>
            </w:pPr>
            <w:r/>
            <w:r>
              <w:rPr>
                <w:rFonts w:ascii="Times New Roman" w:hAnsi="Times New Roman"/>
                <w:b w:val="0"/>
                <w:color w:val="000000"/>
                <w:sz w:val="20"/>
              </w:rPr>
              <w:t>≥ 99.5%</w:t>
            </w:r>
          </w:p>
        </w:tc>
        <w:tc>
          <w:tcPr>
            <w:tcW w:type="dxa" w:w="2304"/>
          </w:tcPr>
          <w:p>
            <w:pPr>
              <w:spacing w:before="40" w:after="40"/>
              <w:jc w:val="left"/>
            </w:pPr>
            <w:r/>
            <w:r>
              <w:rPr>
                <w:rFonts w:ascii="Times New Roman" w:hAnsi="Times New Roman"/>
                <w:b w:val="0"/>
                <w:color w:val="000000"/>
                <w:sz w:val="20"/>
              </w:rPr>
              <w:t>Ops Engineer</w:t>
            </w:r>
          </w:p>
        </w:tc>
      </w:tr>
      <w:tr>
        <w:tc>
          <w:tcPr>
            <w:tcW w:type="dxa" w:w="2160"/>
          </w:tcPr>
          <w:p>
            <w:pPr>
              <w:spacing w:before="40" w:after="40"/>
              <w:jc w:val="left"/>
            </w:pPr>
            <w:r/>
            <w:r>
              <w:rPr>
                <w:rFonts w:ascii="Times New Roman" w:hAnsi="Times New Roman"/>
                <w:b w:val="0"/>
                <w:color w:val="000000"/>
                <w:sz w:val="20"/>
              </w:rPr>
              <w:t>Usabilidad</w:t>
            </w:r>
          </w:p>
        </w:tc>
        <w:tc>
          <w:tcPr>
            <w:tcW w:type="dxa" w:w="3168"/>
          </w:tcPr>
          <w:p>
            <w:pPr>
              <w:spacing w:before="40" w:after="40"/>
              <w:jc w:val="left"/>
            </w:pPr>
            <w:r/>
            <w:r>
              <w:rPr>
                <w:rFonts w:ascii="Times New Roman" w:hAnsi="Times New Roman"/>
                <w:b w:val="0"/>
                <w:color w:val="000000"/>
                <w:sz w:val="20"/>
              </w:rPr>
              <w:t>Puntuación SUS por usuarios reales</w:t>
            </w:r>
          </w:p>
        </w:tc>
        <w:tc>
          <w:tcPr>
            <w:tcW w:type="dxa" w:w="2016"/>
          </w:tcPr>
          <w:p>
            <w:pPr>
              <w:spacing w:before="40" w:after="40"/>
              <w:jc w:val="left"/>
            </w:pPr>
            <w:r/>
            <w:r>
              <w:rPr>
                <w:rFonts w:ascii="Times New Roman" w:hAnsi="Times New Roman"/>
                <w:b w:val="0"/>
                <w:color w:val="000000"/>
                <w:sz w:val="20"/>
              </w:rPr>
              <w:t>&gt; 70/100</w:t>
            </w:r>
          </w:p>
        </w:tc>
        <w:tc>
          <w:tcPr>
            <w:tcW w:type="dxa" w:w="2304"/>
          </w:tcPr>
          <w:p>
            <w:pPr>
              <w:spacing w:before="40" w:after="40"/>
              <w:jc w:val="left"/>
            </w:pPr>
            <w:r/>
            <w:r>
              <w:rPr>
                <w:rFonts w:ascii="Times New Roman" w:hAnsi="Times New Roman"/>
                <w:b w:val="0"/>
                <w:color w:val="000000"/>
                <w:sz w:val="20"/>
              </w:rPr>
              <w:t>Product Owner</w:t>
            </w:r>
          </w:p>
        </w:tc>
      </w:tr>
      <w:tr>
        <w:tc>
          <w:tcPr>
            <w:tcW w:type="dxa" w:w="2160"/>
          </w:tcPr>
          <w:p>
            <w:pPr>
              <w:spacing w:before="40" w:after="40"/>
              <w:jc w:val="left"/>
            </w:pPr>
            <w:r/>
            <w:r>
              <w:rPr>
                <w:rFonts w:ascii="Times New Roman" w:hAnsi="Times New Roman"/>
                <w:b w:val="0"/>
                <w:color w:val="000000"/>
                <w:sz w:val="20"/>
              </w:rPr>
              <w:t>Conformidad</w:t>
            </w:r>
          </w:p>
        </w:tc>
        <w:tc>
          <w:tcPr>
            <w:tcW w:type="dxa" w:w="3168"/>
          </w:tcPr>
          <w:p>
            <w:pPr>
              <w:spacing w:before="40" w:after="40"/>
              <w:jc w:val="left"/>
            </w:pPr>
            <w:r/>
            <w:r>
              <w:rPr>
                <w:rFonts w:ascii="Times New Roman" w:hAnsi="Times New Roman"/>
                <w:b w:val="0"/>
                <w:color w:val="000000"/>
                <w:sz w:val="20"/>
              </w:rPr>
              <w:t>Acta de aceptación firmada por stakeholders</w:t>
            </w:r>
          </w:p>
        </w:tc>
        <w:tc>
          <w:tcPr>
            <w:tcW w:type="dxa" w:w="2016"/>
          </w:tcPr>
          <w:p>
            <w:pPr>
              <w:spacing w:before="40" w:after="40"/>
              <w:jc w:val="left"/>
            </w:pPr>
            <w:r/>
            <w:r>
              <w:rPr>
                <w:rFonts w:ascii="Times New Roman" w:hAnsi="Times New Roman"/>
                <w:b w:val="0"/>
                <w:color w:val="000000"/>
                <w:sz w:val="20"/>
              </w:rPr>
              <w:t>Sí</w:t>
            </w:r>
          </w:p>
        </w:tc>
        <w:tc>
          <w:tcPr>
            <w:tcW w:type="dxa" w:w="2304"/>
          </w:tcPr>
          <w:p>
            <w:pPr>
              <w:spacing w:before="40" w:after="40"/>
              <w:jc w:val="left"/>
            </w:pPr>
            <w:r/>
            <w:r>
              <w:rPr>
                <w:rFonts w:ascii="Times New Roman" w:hAnsi="Times New Roman"/>
                <w:b w:val="0"/>
                <w:color w:val="000000"/>
                <w:sz w:val="20"/>
              </w:rPr>
              <w:t>Product Owner</w:t>
            </w:r>
          </w:p>
        </w:tc>
      </w:tr>
      <w:tr>
        <w:tc>
          <w:tcPr>
            <w:tcW w:type="dxa" w:w="2160"/>
          </w:tcPr>
          <w:p>
            <w:pPr>
              <w:spacing w:before="40" w:after="40"/>
              <w:jc w:val="left"/>
            </w:pPr>
            <w:r/>
            <w:r>
              <w:rPr>
                <w:rFonts w:ascii="Times New Roman" w:hAnsi="Times New Roman"/>
                <w:b w:val="0"/>
                <w:color w:val="000000"/>
                <w:sz w:val="20"/>
              </w:rPr>
              <w:t>Documentación</w:t>
            </w:r>
          </w:p>
        </w:tc>
        <w:tc>
          <w:tcPr>
            <w:tcW w:type="dxa" w:w="3168"/>
          </w:tcPr>
          <w:p>
            <w:pPr>
              <w:spacing w:before="40" w:after="40"/>
              <w:jc w:val="left"/>
            </w:pPr>
            <w:r/>
            <w:r>
              <w:rPr>
                <w:rFonts w:ascii="Times New Roman" w:hAnsi="Times New Roman"/>
                <w:b w:val="0"/>
                <w:color w:val="000000"/>
                <w:sz w:val="20"/>
              </w:rPr>
              <w:t>Plan de despliegue, rollback, runbooks completados</w:t>
            </w:r>
          </w:p>
        </w:tc>
        <w:tc>
          <w:tcPr>
            <w:tcW w:type="dxa" w:w="2016"/>
          </w:tcPr>
          <w:p>
            <w:pPr>
              <w:spacing w:before="40" w:after="40"/>
              <w:jc w:val="left"/>
            </w:pPr>
            <w:r/>
            <w:r>
              <w:rPr>
                <w:rFonts w:ascii="Times New Roman" w:hAnsi="Times New Roman"/>
                <w:b w:val="0"/>
                <w:color w:val="000000"/>
                <w:sz w:val="20"/>
              </w:rPr>
              <w:t>Sí</w:t>
            </w:r>
          </w:p>
        </w:tc>
        <w:tc>
          <w:tcPr>
            <w:tcW w:type="dxa" w:w="2304"/>
          </w:tcPr>
          <w:p>
            <w:pPr>
              <w:spacing w:before="40" w:after="40"/>
              <w:jc w:val="left"/>
            </w:pPr>
            <w:r/>
            <w:r>
              <w:rPr>
                <w:rFonts w:ascii="Times New Roman" w:hAnsi="Times New Roman"/>
                <w:b w:val="0"/>
                <w:color w:val="000000"/>
                <w:sz w:val="20"/>
              </w:rPr>
              <w:t>Tech Lead</w:t>
            </w:r>
          </w:p>
        </w:tc>
      </w:tr>
    </w:tbl>
    <w:p>
      <w:pPr>
        <w:spacing w:line="480" w:lineRule="auto" w:before="0" w:after="0"/>
        <w:jc w:val="center"/>
      </w:pPr>
      <w:r>
        <w:rPr>
          <w:rFonts w:ascii="Times New Roman" w:hAnsi="Times New Roman"/>
          <w:b/>
          <w:i w:val="0"/>
          <w:color w:val="000000"/>
          <w:sz w:val="24"/>
        </w:rPr>
        <w:t>6. Gestión de Defectos y Escalación</w:t>
      </w:r>
    </w:p>
    <w:p>
      <w:pPr>
        <w:spacing w:line="480" w:lineRule="auto" w:before="0" w:after="0"/>
        <w:ind w:firstLine="720"/>
        <w:jc w:val="left"/>
      </w:pPr>
      <w:r>
        <w:rPr>
          <w:rFonts w:ascii="Times New Roman" w:hAnsi="Times New Roman"/>
          <w:b w:val="0"/>
          <w:i w:val="0"/>
          <w:color w:val="000000"/>
          <w:sz w:val="24"/>
        </w:rPr>
        <w:t>La severidad de defectos se clasifica según IEEE 1044-2009. Los defectos críticos bloquean el go-live. Los mayores requieren resolución antes de certificación. Los menores se documentan como trabajo futuro (Fase 2).</w:t>
      </w:r>
    </w:p>
    <w:p>
      <w:pPr>
        <w:spacing w:line="480" w:lineRule="auto" w:before="0" w:after="0"/>
        <w:jc w:val="left"/>
      </w:pPr>
    </w:p>
    <w:p>
      <w:pPr>
        <w:spacing w:line="480" w:lineRule="auto"/>
        <w:jc w:val="center"/>
      </w:pPr>
      <w:r>
        <w:rPr>
          <w:rFonts w:ascii="Times New Roman" w:hAnsi="Times New Roman"/>
          <w:b w:val="0"/>
          <w:i w:val="0"/>
          <w:color w:val="000000"/>
          <w:sz w:val="24"/>
        </w:rPr>
        <w:t>Tabla 4</w:t>
      </w:r>
    </w:p>
    <w:p>
      <w:pPr>
        <w:spacing w:line="480" w:lineRule="auto"/>
        <w:jc w:val="left"/>
      </w:pPr>
      <w:r>
        <w:rPr>
          <w:rFonts w:ascii="Times New Roman" w:hAnsi="Times New Roman"/>
          <w:b w:val="0"/>
          <w:i/>
          <w:color w:val="000000"/>
          <w:sz w:val="24"/>
        </w:rPr>
        <w:t>Matriz de Severidad y Escalación de Defectos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0D0D0"/>
          </w:tcPr>
          <w:p>
            <w:pPr>
              <w:spacing w:before="40" w:after="40"/>
              <w:jc w:val="left"/>
            </w:pPr>
            <w:r/>
            <w:r>
              <w:rPr>
                <w:rFonts w:ascii="Times New Roman" w:hAnsi="Times New Roman"/>
                <w:b/>
                <w:color w:val="000000"/>
                <w:sz w:val="20"/>
              </w:rPr>
              <w:t>Severidad</w:t>
            </w:r>
          </w:p>
        </w:tc>
        <w:tc>
          <w:tcPr>
            <w:tcW w:type="dxa" w:w="2592"/>
            <w:shd w:val="clear" w:color="auto" w:fill="D0D0D0"/>
          </w:tcPr>
          <w:p>
            <w:pPr>
              <w:spacing w:before="40" w:after="40"/>
              <w:jc w:val="left"/>
            </w:pPr>
            <w:r/>
            <w:r>
              <w:rPr>
                <w:rFonts w:ascii="Times New Roman" w:hAnsi="Times New Roman"/>
                <w:b/>
                <w:color w:val="000000"/>
                <w:sz w:val="20"/>
              </w:rPr>
              <w:t>Descripción</w:t>
            </w:r>
          </w:p>
        </w:tc>
        <w:tc>
          <w:tcPr>
            <w:tcW w:type="dxa" w:w="2160"/>
            <w:shd w:val="clear" w:color="auto" w:fill="D0D0D0"/>
          </w:tcPr>
          <w:p>
            <w:pPr>
              <w:spacing w:before="40" w:after="40"/>
              <w:jc w:val="left"/>
            </w:pPr>
            <w:r/>
            <w:r>
              <w:rPr>
                <w:rFonts w:ascii="Times New Roman" w:hAnsi="Times New Roman"/>
                <w:b/>
                <w:color w:val="000000"/>
                <w:sz w:val="20"/>
              </w:rPr>
              <w:t>Impacto</w:t>
            </w:r>
          </w:p>
        </w:tc>
        <w:tc>
          <w:tcPr>
            <w:tcW w:type="dxa" w:w="1872"/>
            <w:shd w:val="clear" w:color="auto" w:fill="D0D0D0"/>
          </w:tcPr>
          <w:p>
            <w:pPr>
              <w:spacing w:before="40" w:after="40"/>
              <w:jc w:val="left"/>
            </w:pPr>
            <w:r/>
            <w:r>
              <w:rPr>
                <w:rFonts w:ascii="Times New Roman" w:hAnsi="Times New Roman"/>
                <w:b/>
                <w:color w:val="000000"/>
                <w:sz w:val="20"/>
              </w:rPr>
              <w:t>Bloqueante</w:t>
            </w:r>
          </w:p>
        </w:tc>
        <w:tc>
          <w:tcPr>
            <w:tcW w:type="dxa" w:w="2304"/>
            <w:shd w:val="clear" w:color="auto" w:fill="D0D0D0"/>
          </w:tcPr>
          <w:p>
            <w:pPr>
              <w:spacing w:before="40" w:after="40"/>
              <w:jc w:val="left"/>
            </w:pPr>
            <w:r/>
            <w:r>
              <w:rPr>
                <w:rFonts w:ascii="Times New Roman" w:hAnsi="Times New Roman"/>
                <w:b/>
                <w:color w:val="000000"/>
                <w:sz w:val="20"/>
              </w:rPr>
              <w:t>Acción Requerida</w:t>
            </w:r>
          </w:p>
        </w:tc>
      </w:tr>
      <w:tr>
        <w:tc>
          <w:tcPr>
            <w:tcW w:type="dxa" w:w="1872"/>
          </w:tcPr>
          <w:p>
            <w:pPr>
              <w:spacing w:before="40" w:after="40"/>
              <w:jc w:val="left"/>
            </w:pPr>
            <w:r/>
            <w:r>
              <w:rPr>
                <w:rFonts w:ascii="Times New Roman" w:hAnsi="Times New Roman"/>
                <w:b w:val="0"/>
                <w:color w:val="000000"/>
                <w:sz w:val="20"/>
              </w:rPr>
              <w:t>Crítico (P0)</w:t>
            </w:r>
          </w:p>
        </w:tc>
        <w:tc>
          <w:tcPr>
            <w:tcW w:type="dxa" w:w="2592"/>
          </w:tcPr>
          <w:p>
            <w:pPr>
              <w:spacing w:before="40" w:after="40"/>
              <w:jc w:val="left"/>
            </w:pPr>
            <w:r/>
            <w:r>
              <w:rPr>
                <w:rFonts w:ascii="Times New Roman" w:hAnsi="Times New Roman"/>
                <w:b w:val="0"/>
                <w:color w:val="000000"/>
                <w:sz w:val="20"/>
              </w:rPr>
              <w:t>Sistema no funciona o pérdida de datos</w:t>
            </w:r>
          </w:p>
        </w:tc>
        <w:tc>
          <w:tcPr>
            <w:tcW w:type="dxa" w:w="2160"/>
          </w:tcPr>
          <w:p>
            <w:pPr>
              <w:spacing w:before="40" w:after="40"/>
              <w:jc w:val="left"/>
            </w:pPr>
            <w:r/>
            <w:r>
              <w:rPr>
                <w:rFonts w:ascii="Times New Roman" w:hAnsi="Times New Roman"/>
                <w:b w:val="0"/>
                <w:color w:val="000000"/>
                <w:sz w:val="20"/>
              </w:rPr>
              <w:t>Producción no viable</w:t>
            </w:r>
          </w:p>
        </w:tc>
        <w:tc>
          <w:tcPr>
            <w:tcW w:type="dxa" w:w="1872"/>
          </w:tcPr>
          <w:p>
            <w:pPr>
              <w:spacing w:before="40" w:after="40"/>
              <w:jc w:val="left"/>
            </w:pPr>
            <w:r/>
            <w:r>
              <w:rPr>
                <w:rFonts w:ascii="Times New Roman" w:hAnsi="Times New Roman"/>
                <w:b w:val="0"/>
                <w:color w:val="000000"/>
                <w:sz w:val="20"/>
              </w:rPr>
              <w:t>SÍ</w:t>
            </w:r>
          </w:p>
        </w:tc>
        <w:tc>
          <w:tcPr>
            <w:tcW w:type="dxa" w:w="2304"/>
          </w:tcPr>
          <w:p>
            <w:pPr>
              <w:spacing w:before="40" w:after="40"/>
              <w:jc w:val="left"/>
            </w:pPr>
            <w:r/>
            <w:r>
              <w:rPr>
                <w:rFonts w:ascii="Times New Roman" w:hAnsi="Times New Roman"/>
                <w:b w:val="0"/>
                <w:color w:val="000000"/>
                <w:sz w:val="20"/>
              </w:rPr>
              <w:t>Fix + retest, go-live bloqueado</w:t>
            </w:r>
          </w:p>
        </w:tc>
      </w:tr>
      <w:tr>
        <w:tc>
          <w:tcPr>
            <w:tcW w:type="dxa" w:w="1872"/>
          </w:tcPr>
          <w:p>
            <w:pPr>
              <w:spacing w:before="40" w:after="40"/>
              <w:jc w:val="left"/>
            </w:pPr>
            <w:r/>
            <w:r>
              <w:rPr>
                <w:rFonts w:ascii="Times New Roman" w:hAnsi="Times New Roman"/>
                <w:b w:val="0"/>
                <w:color w:val="000000"/>
                <w:sz w:val="20"/>
              </w:rPr>
              <w:t>Mayor (P1)</w:t>
            </w:r>
          </w:p>
        </w:tc>
        <w:tc>
          <w:tcPr>
            <w:tcW w:type="dxa" w:w="2592"/>
          </w:tcPr>
          <w:p>
            <w:pPr>
              <w:spacing w:before="40" w:after="40"/>
              <w:jc w:val="left"/>
            </w:pPr>
            <w:r/>
            <w:r>
              <w:rPr>
                <w:rFonts w:ascii="Times New Roman" w:hAnsi="Times New Roman"/>
                <w:b w:val="0"/>
                <w:color w:val="000000"/>
                <w:sz w:val="20"/>
              </w:rPr>
              <w:t>Función principal falla o error de negocio</w:t>
            </w:r>
          </w:p>
        </w:tc>
        <w:tc>
          <w:tcPr>
            <w:tcW w:type="dxa" w:w="2160"/>
          </w:tcPr>
          <w:p>
            <w:pPr>
              <w:spacing w:before="40" w:after="40"/>
              <w:jc w:val="left"/>
            </w:pPr>
            <w:r/>
            <w:r>
              <w:rPr>
                <w:rFonts w:ascii="Times New Roman" w:hAnsi="Times New Roman"/>
                <w:b w:val="0"/>
                <w:color w:val="000000"/>
                <w:sz w:val="20"/>
              </w:rPr>
              <w:t>Funcionalidad reducida</w:t>
            </w:r>
          </w:p>
        </w:tc>
        <w:tc>
          <w:tcPr>
            <w:tcW w:type="dxa" w:w="1872"/>
          </w:tcPr>
          <w:p>
            <w:pPr>
              <w:spacing w:before="40" w:after="40"/>
              <w:jc w:val="left"/>
            </w:pPr>
            <w:r/>
            <w:r>
              <w:rPr>
                <w:rFonts w:ascii="Times New Roman" w:hAnsi="Times New Roman"/>
                <w:b w:val="0"/>
                <w:color w:val="000000"/>
                <w:sz w:val="20"/>
              </w:rPr>
              <w:t>SÍ</w:t>
            </w:r>
          </w:p>
        </w:tc>
        <w:tc>
          <w:tcPr>
            <w:tcW w:type="dxa" w:w="2304"/>
          </w:tcPr>
          <w:p>
            <w:pPr>
              <w:spacing w:before="40" w:after="40"/>
              <w:jc w:val="left"/>
            </w:pPr>
            <w:r/>
            <w:r>
              <w:rPr>
                <w:rFonts w:ascii="Times New Roman" w:hAnsi="Times New Roman"/>
                <w:b w:val="0"/>
                <w:color w:val="000000"/>
                <w:sz w:val="20"/>
              </w:rPr>
              <w:t>Fix + retest, requiere aprobación PO</w:t>
            </w:r>
          </w:p>
        </w:tc>
      </w:tr>
      <w:tr>
        <w:tc>
          <w:tcPr>
            <w:tcW w:type="dxa" w:w="1872"/>
          </w:tcPr>
          <w:p>
            <w:pPr>
              <w:spacing w:before="40" w:after="40"/>
              <w:jc w:val="left"/>
            </w:pPr>
            <w:r/>
            <w:r>
              <w:rPr>
                <w:rFonts w:ascii="Times New Roman" w:hAnsi="Times New Roman"/>
                <w:b w:val="0"/>
                <w:color w:val="000000"/>
                <w:sz w:val="20"/>
              </w:rPr>
              <w:t>Menor (P2)</w:t>
            </w:r>
          </w:p>
        </w:tc>
        <w:tc>
          <w:tcPr>
            <w:tcW w:type="dxa" w:w="2592"/>
          </w:tcPr>
          <w:p>
            <w:pPr>
              <w:spacing w:before="40" w:after="40"/>
              <w:jc w:val="left"/>
            </w:pPr>
            <w:r/>
            <w:r>
              <w:rPr>
                <w:rFonts w:ascii="Times New Roman" w:hAnsi="Times New Roman"/>
                <w:b w:val="0"/>
                <w:color w:val="000000"/>
                <w:sz w:val="20"/>
              </w:rPr>
              <w:t>UI/UX incómoda, ortografía, performance marginal</w:t>
            </w:r>
          </w:p>
        </w:tc>
        <w:tc>
          <w:tcPr>
            <w:tcW w:type="dxa" w:w="2160"/>
          </w:tcPr>
          <w:p>
            <w:pPr>
              <w:spacing w:before="40" w:after="40"/>
              <w:jc w:val="left"/>
            </w:pPr>
            <w:r/>
            <w:r>
              <w:rPr>
                <w:rFonts w:ascii="Times New Roman" w:hAnsi="Times New Roman"/>
                <w:b w:val="0"/>
                <w:color w:val="000000"/>
                <w:sz w:val="20"/>
              </w:rPr>
              <w:t>Usabilidad afectada</w:t>
            </w:r>
          </w:p>
        </w:tc>
        <w:tc>
          <w:tcPr>
            <w:tcW w:type="dxa" w:w="1872"/>
          </w:tcPr>
          <w:p>
            <w:pPr>
              <w:spacing w:before="40" w:after="40"/>
              <w:jc w:val="left"/>
            </w:pPr>
            <w:r/>
            <w:r>
              <w:rPr>
                <w:rFonts w:ascii="Times New Roman" w:hAnsi="Times New Roman"/>
                <w:b w:val="0"/>
                <w:color w:val="000000"/>
                <w:sz w:val="20"/>
              </w:rPr>
              <w:t>NO</w:t>
            </w:r>
          </w:p>
        </w:tc>
        <w:tc>
          <w:tcPr>
            <w:tcW w:type="dxa" w:w="2304"/>
          </w:tcPr>
          <w:p>
            <w:pPr>
              <w:spacing w:before="40" w:after="40"/>
              <w:jc w:val="left"/>
            </w:pPr>
            <w:r/>
            <w:r>
              <w:rPr>
                <w:rFonts w:ascii="Times New Roman" w:hAnsi="Times New Roman"/>
                <w:b w:val="0"/>
                <w:color w:val="000000"/>
                <w:sz w:val="20"/>
              </w:rPr>
              <w:t>Documentar para Fase 2</w:t>
            </w:r>
          </w:p>
        </w:tc>
      </w:tr>
      <w:tr>
        <w:tc>
          <w:tcPr>
            <w:tcW w:type="dxa" w:w="1872"/>
          </w:tcPr>
          <w:p>
            <w:pPr>
              <w:spacing w:before="40" w:after="40"/>
              <w:jc w:val="left"/>
            </w:pPr>
            <w:r/>
            <w:r>
              <w:rPr>
                <w:rFonts w:ascii="Times New Roman" w:hAnsi="Times New Roman"/>
                <w:b w:val="0"/>
                <w:color w:val="000000"/>
                <w:sz w:val="20"/>
              </w:rPr>
              <w:t>Trivial (P3)</w:t>
            </w:r>
          </w:p>
        </w:tc>
        <w:tc>
          <w:tcPr>
            <w:tcW w:type="dxa" w:w="2592"/>
          </w:tcPr>
          <w:p>
            <w:pPr>
              <w:spacing w:before="40" w:after="40"/>
              <w:jc w:val="left"/>
            </w:pPr>
            <w:r/>
            <w:r>
              <w:rPr>
                <w:rFonts w:ascii="Times New Roman" w:hAnsi="Times New Roman"/>
                <w:b w:val="0"/>
                <w:color w:val="000000"/>
                <w:sz w:val="20"/>
              </w:rPr>
              <w:t>Typo, inconsistencia estilística</w:t>
            </w:r>
          </w:p>
        </w:tc>
        <w:tc>
          <w:tcPr>
            <w:tcW w:type="dxa" w:w="2160"/>
          </w:tcPr>
          <w:p>
            <w:pPr>
              <w:spacing w:before="40" w:after="40"/>
              <w:jc w:val="left"/>
            </w:pPr>
            <w:r/>
            <w:r>
              <w:rPr>
                <w:rFonts w:ascii="Times New Roman" w:hAnsi="Times New Roman"/>
                <w:b w:val="0"/>
                <w:color w:val="000000"/>
                <w:sz w:val="20"/>
              </w:rPr>
              <w:t>Cosmético</w:t>
            </w:r>
          </w:p>
        </w:tc>
        <w:tc>
          <w:tcPr>
            <w:tcW w:type="dxa" w:w="1872"/>
          </w:tcPr>
          <w:p>
            <w:pPr>
              <w:spacing w:before="40" w:after="40"/>
              <w:jc w:val="left"/>
            </w:pPr>
            <w:r/>
            <w:r>
              <w:rPr>
                <w:rFonts w:ascii="Times New Roman" w:hAnsi="Times New Roman"/>
                <w:b w:val="0"/>
                <w:color w:val="000000"/>
                <w:sz w:val="20"/>
              </w:rPr>
              <w:t>NO</w:t>
            </w:r>
          </w:p>
        </w:tc>
        <w:tc>
          <w:tcPr>
            <w:tcW w:type="dxa" w:w="2304"/>
          </w:tcPr>
          <w:p>
            <w:pPr>
              <w:spacing w:before="40" w:after="40"/>
              <w:jc w:val="left"/>
            </w:pPr>
            <w:r/>
            <w:r>
              <w:rPr>
                <w:rFonts w:ascii="Times New Roman" w:hAnsi="Times New Roman"/>
                <w:b w:val="0"/>
                <w:color w:val="000000"/>
                <w:sz w:val="20"/>
              </w:rPr>
              <w:t>Fix si hay oportunidad</w:t>
            </w:r>
          </w:p>
        </w:tc>
      </w:tr>
    </w:tbl>
    <w:p>
      <w:pPr>
        <w:spacing w:line="480" w:lineRule="auto" w:before="0" w:after="0"/>
        <w:jc w:val="center"/>
      </w:pPr>
      <w:r>
        <w:rPr>
          <w:rFonts w:ascii="Times New Roman" w:hAnsi="Times New Roman"/>
          <w:b/>
          <w:i w:val="0"/>
          <w:color w:val="000000"/>
          <w:sz w:val="24"/>
        </w:rPr>
        <w:t>7. Procedimiento de Go-Live y Monitoreo Post-Despliegue</w:t>
      </w:r>
    </w:p>
    <w:p>
      <w:pPr>
        <w:spacing w:line="480" w:lineRule="auto" w:before="0" w:after="0"/>
        <w:ind w:firstLine="720"/>
        <w:jc w:val="left"/>
      </w:pPr>
      <w:r>
        <w:rPr>
          <w:rFonts w:ascii="Times New Roman" w:hAnsi="Times New Roman"/>
          <w:b w:val="0"/>
          <w:i w:val="0"/>
          <w:color w:val="000000"/>
          <w:sz w:val="24"/>
        </w:rPr>
        <w:t>El go-live (transición a producción) seguirá un patrón de blue-green deployment con monitoreo intensivo durante 48 horas (Newman, 2019). Si se detecta anomalía crítica (p. ej., error rate &gt; 1%), se ejecuta rollback automático a versión anterior. Tras 30 días de operación sin incidentes críticos, el sistema es certificado como estable.</w:t>
      </w:r>
    </w:p>
    <w:p>
      <w:pPr>
        <w:spacing w:line="480" w:lineRule="auto"/>
        <w:ind w:left="720"/>
      </w:pPr>
      <w:r>
        <w:rPr>
          <w:rFonts w:ascii="Times New Roman" w:hAnsi="Times New Roman"/>
          <w:b w:val="0"/>
          <w:i w:val="0"/>
          <w:color w:val="000000"/>
          <w:sz w:val="24"/>
        </w:rPr>
        <w:t>1. Blue-Green Deployment: Versión anterior (Blue) sigue activa mientras se despliega nueva versión (Green). Una vez Green pasa health checks, se cambia el tráfico. Si Green falla, rollback a Blue en &lt; 5 min.</w:t>
      </w:r>
    </w:p>
    <w:p>
      <w:pPr>
        <w:spacing w:line="480" w:lineRule="auto"/>
        <w:ind w:left="720"/>
      </w:pPr>
      <w:r>
        <w:rPr>
          <w:rFonts w:ascii="Times New Roman" w:hAnsi="Times New Roman"/>
          <w:b w:val="0"/>
          <w:i w:val="0"/>
          <w:color w:val="000000"/>
          <w:sz w:val="24"/>
        </w:rPr>
        <w:t>2. Monitoreo 24/7: App Insights monitoreará error rate, latencia, disponibilidad. Umbrales: error rate &gt; 1% → alerta P1; latencia p95 &gt; 3s → alerta P2.</w:t>
      </w:r>
    </w:p>
    <w:p>
      <w:pPr>
        <w:spacing w:line="480" w:lineRule="auto"/>
        <w:ind w:left="720"/>
      </w:pPr>
      <w:r>
        <w:rPr>
          <w:rFonts w:ascii="Times New Roman" w:hAnsi="Times New Roman"/>
          <w:b w:val="0"/>
          <w:i w:val="0"/>
          <w:color w:val="000000"/>
          <w:sz w:val="24"/>
        </w:rPr>
        <w:t>3. Canary Release: Primeras 2 horas, solo 5% del tráfico va a Green. Si métricas OK, aumentar a 25%, 50%, finalmente 100%.</w:t>
      </w:r>
    </w:p>
    <w:p>
      <w:pPr>
        <w:spacing w:line="480" w:lineRule="auto"/>
        <w:ind w:left="720"/>
      </w:pPr>
      <w:r>
        <w:rPr>
          <w:rFonts w:ascii="Times New Roman" w:hAnsi="Times New Roman"/>
          <w:b w:val="0"/>
          <w:i w:val="0"/>
          <w:color w:val="000000"/>
          <w:sz w:val="24"/>
        </w:rPr>
        <w:t>4. Rollback Plan: Si cualquier métrica crítica excede SLO por 10 minutos, ejecutar rollback automático.</w:t>
      </w:r>
    </w:p>
    <w:p>
      <w:r>
        <w:br w:type="page"/>
      </w:r>
    </w:p>
    <w:p>
      <w:pPr>
        <w:spacing w:line="480" w:lineRule="auto" w:before="0" w:after="0"/>
        <w:jc w:val="center"/>
      </w:pPr>
      <w:r>
        <w:rPr>
          <w:rFonts w:ascii="Times New Roman" w:hAnsi="Times New Roman"/>
          <w:b/>
          <w:i w:val="0"/>
          <w:color w:val="000000"/>
          <w:sz w:val="24"/>
        </w:rPr>
        <w:t>8. Acta de Certificación</w:t>
      </w:r>
    </w:p>
    <w:p>
      <w:pPr>
        <w:spacing w:line="480" w:lineRule="auto" w:before="0" w:after="0"/>
        <w:ind w:firstLine="720"/>
        <w:jc w:val="left"/>
      </w:pPr>
      <w:r>
        <w:rPr>
          <w:rFonts w:ascii="Times New Roman" w:hAnsi="Times New Roman"/>
          <w:b w:val="0"/>
          <w:i w:val="0"/>
          <w:color w:val="000000"/>
          <w:sz w:val="24"/>
        </w:rPr>
        <w:t>Una vez completadas todas las etapas de prueba y se cumplen todos los criterios de aceptación (Tabla 3), se emite el Acta de Certificación (Tabla 5) firmada por QA Engineer, Arquitecto, Product Owner y Director del Proyecto. Esta acta es el documento oficial que autoriza el despliegue a producción.</w:t>
      </w:r>
    </w:p>
    <w:p>
      <w:pPr>
        <w:spacing w:line="480" w:lineRule="auto" w:before="0" w:after="0"/>
        <w:jc w:val="left"/>
      </w:pPr>
    </w:p>
    <w:p>
      <w:pPr>
        <w:spacing w:line="480" w:lineRule="auto"/>
        <w:jc w:val="center"/>
      </w:pPr>
      <w:r>
        <w:rPr>
          <w:rFonts w:ascii="Times New Roman" w:hAnsi="Times New Roman"/>
          <w:b w:val="0"/>
          <w:i w:val="0"/>
          <w:color w:val="000000"/>
          <w:sz w:val="24"/>
        </w:rPr>
        <w:t>Tabla 5</w:t>
      </w:r>
    </w:p>
    <w:p>
      <w:pPr>
        <w:spacing w:line="480" w:lineRule="auto"/>
        <w:jc w:val="left"/>
      </w:pPr>
      <w:r>
        <w:rPr>
          <w:rFonts w:ascii="Times New Roman" w:hAnsi="Times New Roman"/>
          <w:b w:val="0"/>
          <w:i/>
          <w:color w:val="000000"/>
          <w:sz w:val="24"/>
        </w:rPr>
        <w:t>Acta de Certificación para Producción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0D0D0"/>
          </w:tcPr>
          <w:p>
            <w:pPr>
              <w:spacing w:before="40" w:after="40"/>
              <w:jc w:val="left"/>
            </w:pPr>
            <w:r/>
            <w:r>
              <w:rPr>
                <w:rFonts w:ascii="Times New Roman" w:hAnsi="Times New Roman"/>
                <w:b/>
                <w:color w:val="000000"/>
                <w:sz w:val="20"/>
              </w:rPr>
              <w:t>Aspecto</w:t>
            </w:r>
          </w:p>
        </w:tc>
        <w:tc>
          <w:tcPr>
            <w:tcW w:type="dxa" w:w="1728"/>
            <w:shd w:val="clear" w:color="auto" w:fill="D0D0D0"/>
          </w:tcPr>
          <w:p>
            <w:pPr>
              <w:spacing w:before="40" w:after="40"/>
              <w:jc w:val="left"/>
            </w:pPr>
            <w:r/>
            <w:r>
              <w:rPr>
                <w:rFonts w:ascii="Times New Roman" w:hAnsi="Times New Roman"/>
                <w:b/>
                <w:color w:val="000000"/>
                <w:sz w:val="20"/>
              </w:rPr>
              <w:t>Cumplimiento</w:t>
            </w:r>
          </w:p>
        </w:tc>
        <w:tc>
          <w:tcPr>
            <w:tcW w:type="dxa" w:w="2592"/>
            <w:shd w:val="clear" w:color="auto" w:fill="D0D0D0"/>
          </w:tcPr>
          <w:p>
            <w:pPr>
              <w:spacing w:before="40" w:after="40"/>
              <w:jc w:val="left"/>
            </w:pPr>
            <w:r/>
            <w:r>
              <w:rPr>
                <w:rFonts w:ascii="Times New Roman" w:hAnsi="Times New Roman"/>
                <w:b/>
                <w:color w:val="000000"/>
                <w:sz w:val="20"/>
              </w:rPr>
              <w:t>Firma</w:t>
            </w:r>
          </w:p>
        </w:tc>
        <w:tc>
          <w:tcPr>
            <w:tcW w:type="dxa" w:w="2016"/>
            <w:shd w:val="clear" w:color="auto" w:fill="D0D0D0"/>
          </w:tcPr>
          <w:p>
            <w:pPr>
              <w:spacing w:before="40" w:after="40"/>
              <w:jc w:val="left"/>
            </w:pPr>
            <w:r/>
            <w:r>
              <w:rPr>
                <w:rFonts w:ascii="Times New Roman" w:hAnsi="Times New Roman"/>
                <w:b/>
                <w:color w:val="000000"/>
                <w:sz w:val="20"/>
              </w:rPr>
              <w:t>Fecha</w:t>
            </w:r>
          </w:p>
        </w:tc>
      </w:tr>
      <w:tr>
        <w:tc>
          <w:tcPr>
            <w:tcW w:type="dxa" w:w="2880"/>
          </w:tcPr>
          <w:p>
            <w:pPr>
              <w:spacing w:before="40" w:after="40"/>
              <w:jc w:val="left"/>
            </w:pPr>
            <w:r/>
            <w:r>
              <w:rPr>
                <w:rFonts w:ascii="Times New Roman" w:hAnsi="Times New Roman"/>
                <w:b w:val="0"/>
                <w:color w:val="000000"/>
                <w:sz w:val="20"/>
              </w:rPr>
              <w:t>Funcionalidad: CP001–CP040 pasados al 98%</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r>
        <w:tc>
          <w:tcPr>
            <w:tcW w:type="dxa" w:w="2880"/>
          </w:tcPr>
          <w:p>
            <w:pPr>
              <w:spacing w:before="40" w:after="40"/>
              <w:jc w:val="left"/>
            </w:pPr>
            <w:r/>
            <w:r>
              <w:rPr>
                <w:rFonts w:ascii="Times New Roman" w:hAnsi="Times New Roman"/>
                <w:b w:val="0"/>
                <w:color w:val="000000"/>
                <w:sz w:val="20"/>
              </w:rPr>
              <w:t>Seguridad: 0 vulnerabilidades críticas OWASP</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r>
        <w:tc>
          <w:tcPr>
            <w:tcW w:type="dxa" w:w="2880"/>
          </w:tcPr>
          <w:p>
            <w:pPr>
              <w:spacing w:before="40" w:after="40"/>
              <w:jc w:val="left"/>
            </w:pPr>
            <w:r/>
            <w:r>
              <w:rPr>
                <w:rFonts w:ascii="Times New Roman" w:hAnsi="Times New Roman"/>
                <w:b w:val="0"/>
                <w:color w:val="000000"/>
                <w:sz w:val="20"/>
              </w:rPr>
              <w:t>Desempeño: Latencia p95 &lt; 2s @ 500 usuarios</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r>
        <w:tc>
          <w:tcPr>
            <w:tcW w:type="dxa" w:w="2880"/>
          </w:tcPr>
          <w:p>
            <w:pPr>
              <w:spacing w:before="40" w:after="40"/>
              <w:jc w:val="left"/>
            </w:pPr>
            <w:r/>
            <w:r>
              <w:rPr>
                <w:rFonts w:ascii="Times New Roman" w:hAnsi="Times New Roman"/>
                <w:b w:val="0"/>
                <w:color w:val="000000"/>
                <w:sz w:val="20"/>
              </w:rPr>
              <w:t>Usabilidad: SUS &gt; 70/100</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r>
        <w:tc>
          <w:tcPr>
            <w:tcW w:type="dxa" w:w="2880"/>
          </w:tcPr>
          <w:p>
            <w:pPr>
              <w:spacing w:before="40" w:after="40"/>
              <w:jc w:val="left"/>
            </w:pPr>
            <w:r/>
            <w:r>
              <w:rPr>
                <w:rFonts w:ascii="Times New Roman" w:hAnsi="Times New Roman"/>
                <w:b w:val="0"/>
                <w:color w:val="000000"/>
                <w:sz w:val="20"/>
              </w:rPr>
              <w:t>Documentación: Completa y aprobada</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r>
        <w:tc>
          <w:tcPr>
            <w:tcW w:type="dxa" w:w="2880"/>
          </w:tcPr>
          <w:p>
            <w:pPr>
              <w:spacing w:before="40" w:after="40"/>
              <w:jc w:val="left"/>
            </w:pPr>
            <w:r/>
            <w:r>
              <w:rPr>
                <w:rFonts w:ascii="Times New Roman" w:hAnsi="Times New Roman"/>
                <w:b w:val="0"/>
                <w:color w:val="000000"/>
                <w:sz w:val="20"/>
              </w:rPr>
              <w:t>UAT: Aceptación de usuarios finales</w:t>
            </w:r>
          </w:p>
        </w:tc>
        <w:tc>
          <w:tcPr>
            <w:tcW w:type="dxa" w:w="1728"/>
          </w:tcPr>
          <w:p>
            <w:pPr>
              <w:spacing w:before="40" w:after="40"/>
              <w:jc w:val="left"/>
            </w:pPr>
            <w:r/>
            <w:r>
              <w:rPr>
                <w:rFonts w:ascii="Times New Roman" w:hAnsi="Times New Roman"/>
                <w:b w:val="0"/>
                <w:color w:val="000000"/>
                <w:sz w:val="20"/>
              </w:rPr>
              <w:t>[ ] SÍ  [ ] NO</w:t>
            </w:r>
          </w:p>
        </w:tc>
        <w:tc>
          <w:tcPr>
            <w:tcW w:type="dxa" w:w="2592"/>
          </w:tcPr>
          <w:p>
            <w:pPr>
              <w:spacing w:before="40" w:after="40"/>
              <w:jc w:val="left"/>
            </w:pPr>
            <w:r/>
            <w:r>
              <w:rPr>
                <w:rFonts w:ascii="Times New Roman" w:hAnsi="Times New Roman"/>
                <w:b w:val="0"/>
                <w:color w:val="000000"/>
                <w:sz w:val="20"/>
              </w:rPr>
              <w:t>_______________</w:t>
            </w:r>
          </w:p>
        </w:tc>
        <w:tc>
          <w:tcPr>
            <w:tcW w:type="dxa" w:w="2016"/>
          </w:tcPr>
          <w:p>
            <w:pPr>
              <w:spacing w:before="40" w:after="40"/>
              <w:jc w:val="left"/>
            </w:pPr>
            <w:r/>
            <w:r>
              <w:rPr>
                <w:rFonts w:ascii="Times New Roman" w:hAnsi="Times New Roman"/>
                <w:b w:val="0"/>
                <w:color w:val="000000"/>
                <w:sz w:val="20"/>
              </w:rPr>
              <w:t>___/___/2026</w:t>
            </w:r>
          </w:p>
        </w:tc>
      </w:tr>
    </w:tbl>
    <w:p>
      <w:r>
        <w:br w:type="page"/>
      </w:r>
    </w:p>
    <w:p>
      <w:pPr>
        <w:spacing w:line="480" w:lineRule="auto" w:before="0" w:after="0"/>
        <w:jc w:val="center"/>
      </w:pPr>
      <w:r>
        <w:rPr>
          <w:rFonts w:ascii="Times New Roman" w:hAnsi="Times New Roman"/>
          <w:b/>
          <w:i w:val="0"/>
          <w:color w:val="000000"/>
          <w:sz w:val="24"/>
        </w:rPr>
        <w:t>Referencias</w:t>
      </w:r>
    </w:p>
    <w:p>
      <w:pPr>
        <w:spacing w:line="480" w:lineRule="auto"/>
        <w:ind w:left="720" w:hanging="720"/>
      </w:pPr>
      <w:r>
        <w:rPr>
          <w:rFonts w:ascii="Times New Roman" w:hAnsi="Times New Roman"/>
          <w:b w:val="0"/>
          <w:i w:val="0"/>
          <w:color w:val="000000"/>
          <w:sz w:val="24"/>
        </w:rPr>
        <w:t>Brooke, J. (1996). SUS: A "quick and dirty" usability scale. En P. W. Jordan et al. (Eds.), Usability evaluation in industry (pp. 189–194). Taylor &amp; Francis.</w:t>
      </w:r>
    </w:p>
    <w:p>
      <w:pPr>
        <w:spacing w:line="480" w:lineRule="auto"/>
        <w:ind w:left="720" w:hanging="720"/>
      </w:pPr>
      <w:r>
        <w:rPr>
          <w:rFonts w:ascii="Times New Roman" w:hAnsi="Times New Roman"/>
          <w:b w:val="0"/>
          <w:i w:val="0"/>
          <w:color w:val="000000"/>
          <w:sz w:val="24"/>
        </w:rPr>
        <w:t>Cohn, M. (2009). Succeeding with agile: Software development using Scrum (1.ª ed.). Addison-Wesley Professional.</w:t>
      </w:r>
    </w:p>
    <w:p>
      <w:pPr>
        <w:spacing w:line="480" w:lineRule="auto"/>
        <w:ind w:left="720" w:hanging="720"/>
      </w:pPr>
      <w:r>
        <w:rPr>
          <w:rFonts w:ascii="Times New Roman" w:hAnsi="Times New Roman"/>
          <w:b w:val="0"/>
          <w:i w:val="0"/>
          <w:color w:val="000000"/>
          <w:sz w:val="24"/>
        </w:rPr>
        <w:t>IEEE. (2009). IEEE 1044-2009: Standard classification for software anomalies. Institute of Electrical and Electronics Engineers.</w:t>
      </w:r>
    </w:p>
    <w:p>
      <w:pPr>
        <w:spacing w:line="480" w:lineRule="auto"/>
        <w:ind w:left="720" w:hanging="720"/>
      </w:pPr>
      <w:r>
        <w:rPr>
          <w:rFonts w:ascii="Times New Roman" w:hAnsi="Times New Roman"/>
          <w:b w:val="0"/>
          <w:i w:val="0"/>
          <w:color w:val="000000"/>
          <w:sz w:val="24"/>
        </w:rPr>
        <w:t>Newman, S. (2019). Building microservices: Designing fine-grained systems (2.ª ed.). O'Reilly Media.</w:t>
      </w:r>
    </w:p>
    <w:p>
      <w:pPr>
        <w:spacing w:line="480" w:lineRule="auto"/>
        <w:ind w:left="720" w:hanging="720"/>
      </w:pPr>
      <w:r>
        <w:rPr>
          <w:rFonts w:ascii="Times New Roman" w:hAnsi="Times New Roman"/>
          <w:b w:val="0"/>
          <w:i w:val="0"/>
          <w:color w:val="000000"/>
          <w:sz w:val="24"/>
        </w:rPr>
        <w:t>Nygard, M. T. (2018). Release it! Design and deploy production-ready software (2.ª ed.). Pragmatic Bookshelf.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000000"/>
        <w:sz w:val="24"/>
      </w:rPr>
      <w:t>SILADOCS: PLAN DE PRUEBAS Y CERTIFICACIÓN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