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</w:p>
    <w:p>
      <w:pPr>
        <w:spacing w:line="48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Conclusiones Derivadas de la Experimentación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Lecciones Aprendidas, Trabajo Futuro y Recomendaciones</w:t>
      </w:r>
    </w:p>
    <w:p>
      <w:pPr>
        <w:spacing w:line="480" w:lineRule="auto" w:before="0" w:after="0"/>
        <w:jc w:val="left"/>
      </w:pPr>
    </w:p>
    <w:p>
      <w:pPr>
        <w:spacing w:line="480" w:lineRule="auto" w:before="0" w:after="0"/>
        <w:jc w:val="left"/>
      </w:pP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Universidad / Institución Educativa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Equipo de Desarrollo SilaDocs</w:t>
      </w:r>
    </w:p>
    <w:p>
      <w:pPr>
        <w:spacing w:line="48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Junio 2026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Resumen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presente documento presenta las conclusiones derivadas de la experimentación, prueba y operación de SilaDocs durante el ciclo de desarrollo. Se documentan las lecciones aprendidas en aspectos técnicos, arquitectónicos, operacionales y organizacionales. Igualmente, se proponen mejoras futuras priorizadas por impacto y esfuerzo de implementación. El documento sirve como referencia para futuros proyectos similares y como base para la planificación de la Fase 2 de SilaDocs.</w:t>
      </w:r>
    </w:p>
    <w:p>
      <w:pPr>
        <w:spacing w:line="480" w:lineRule="auto" w:before="0" w:after="0"/>
        <w:jc w:val="left"/>
      </w:pPr>
    </w:p>
    <w:p>
      <w:pPr>
        <w:spacing w:line="480" w:lineRule="auto"/>
        <w:ind w:firstLine="720"/>
      </w:pPr>
      <w:r>
        <w:rPr>
          <w:rFonts w:ascii="Times New Roman" w:hAnsi="Times New Roman"/>
          <w:b w:val="0"/>
          <w:i/>
          <w:color w:val="000000"/>
          <w:sz w:val="24"/>
        </w:rPr>
        <w:t xml:space="preserve">Palabras clave: </w:t>
      </w:r>
      <w:r>
        <w:rPr>
          <w:rFonts w:ascii="Times New Roman" w:hAnsi="Times New Roman"/>
          <w:b w:val="0"/>
          <w:i w:val="0"/>
          <w:color w:val="000000"/>
          <w:sz w:val="24"/>
        </w:rPr>
        <w:t>lecciones aprendidas, retrospectiva, Spring Boot, blockchain SaaS, trabajo futuro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1. Conclusión General del Proyecto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SilaDocs ha sido exitosamente desarrollado, validado y desplegado en producción, cumpliendo todos los objetivos de la fase inicial. El sistema: (a) gestiona el ciclo de vida completo de sílabos académicos a través de una API REST construida en Spring Boot 3.x (Java 17 LTS); (b) integra Hyperledger Fabric para garantizar no-repudio e inmutabilidad de registros; (c) es accesible como SaaS mediante frontend Next.js en Vercel y backend en Azure App Service; (d) cumple con estándares de calidad ISO/IEC 25010:2023 con 100% de funcionalidad aprobada y 0 vulnerabilidades críticas; y (e) mantiene SLOs de disponibilidad (99.72%) y desempeño (p95 = 1,124 ms) que superan los umbrales contractuales.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impacto esperado es significativo: SilaDocs permite que instituciones educativas aseguren la integridad y trazabilidad de documentos académicos de forma permanente, reduciendo fraude documentario y facilitando reconocimiento digital entre instituciones.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2. Conclusiones Técnicas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2.1 Stack Tecnológico Seleccionado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decisión de usar Spring Boot 3.x (Java 17) para el backend demostró ser acertada por las siguientes razones: (a) el ecosistema Spring proporciona abstracciones robustas para seguridad (Spring Security + JWT), persistencia (Spring Data JPA + Hibernate), y observabilidad (Spring Boot Actuator); (b) Java 17 LTS ofrece rendimiento superior y soporte extendido hasta 2026; (c) Azure App Service tiene soporte nativo optimizado para aplicaciones Java con Tomcat embebido; y (d) la integración con el SDK fabric-gateway-java de Hyperledger fue directa y bien documentada (Walls, 2022).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frontend en Next.js 15 + TypeScript complementó el backend Spring Boot con: (a) type safety desde la interfaz hasta el contrato de la API; (b) SSR (Server-Side Rendering) para SEO; (c) despliegue automático en Vercel con propagación global en &lt; 2 min. La combinación Java (backend) + TypeScript (frontend) garantizó type safety en toda la pila tecnológica.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2.2 Spring Boot + Hyperledger Fabric: Integración Clave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La integración Spring Boot con Hyperledger Fabric fue el mayor desafío técnico del proyecto. El SDK fabric-gateway-java requiere: manejo de identidades X.509 por organización, gestión del ciclo de vida del gateway y canal, y manejo asíncrono de eventos de transacción. Se implementó un servicio Spring (@Service FabricService) singleton que mantiene una conexión al peer y envía propuestas de transacción. El monitoreo de eventos se implementó mediante SSE (Server-Sent Events) desde el backend Spring Boot al frontend Next.js, permitiendo feedback en tiempo real durante la confirmación de sílabos en la cadena (Hyperledger Foundation, 2023).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2.3 Escalabilidad y Arquitectura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Azure App Service con autoscaling horizontal permitió manejar picos de carga sin intervención manual. Spring Boot Actuator proveyó métricas JVM (heap, GC, threads) exportadas a Azure Monitor para alertas proactivas. Se identificó que el pool de conexiones HikariCP necesita tuning explícito bajo alta concurrencia: spring.datasource.hikari.maximum-pool-size=20 fue insuficiente para 500+ usuarios concurrentes; se aumentó a 50 en producción.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3. Conclusiones Operacionales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3.1 Observabilidad con Spring Boot Actuator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Spring Boot Actuator fue fundamental para la operación: el endpoint /actuator/health se usó como readiness probe en Azure App Service, /actuator/metrics exportó JVM metrics, y /actuator/info proporcionó versión del build. Se integró con Azure Application Insights mediante el starter spring-cloud-azure-starter-monitor para correlación de trazas end-to-end (frontend → API REST → PostgreSQL → Fabric).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3.2 Gestión de Configuración por Perfil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Spring Boot Profiles (application-dev.yml, application-prod.yml) permitieron separar configuración de entornos sin cambiar código. Las variables sensibles (contraseñas, JWT secret, credenciales Fabric) se inyectaron desde Azure Key Vault mediante @Value("${azure.keyvault.secret}") en Spring, sin exponerlas en el repositorio. Esta práctica previno incidentes de seguridad por exposición de credenciales.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4. Conclusiones de Calidad de Software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Resultados alcanzados bajo ISO/IEC 25010:2023: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Funcionalidad: </w:t>
      </w:r>
      <w:r>
        <w:rPr>
          <w:rFonts w:ascii="Times New Roman" w:hAnsi="Times New Roman"/>
          <w:b w:val="0"/>
          <w:i w:val="0"/>
          <w:color w:val="000000"/>
          <w:sz w:val="24"/>
        </w:rPr>
        <w:t>100% de requisitos implementados, 98% de casos aprobados, 0 defectos críticos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Usabilidad: </w:t>
      </w:r>
      <w:r>
        <w:rPr>
          <w:rFonts w:ascii="Times New Roman" w:hAnsi="Times New Roman"/>
          <w:b w:val="0"/>
          <w:i w:val="0"/>
          <w:color w:val="000000"/>
          <w:sz w:val="24"/>
        </w:rPr>
        <w:t>SUS 76.5/100 (calificación Buena, Bangor et al., 2008)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Seguridad: </w:t>
      </w:r>
      <w:r>
        <w:rPr>
          <w:rFonts w:ascii="Times New Roman" w:hAnsi="Times New Roman"/>
          <w:b w:val="0"/>
          <w:i w:val="0"/>
          <w:color w:val="000000"/>
          <w:sz w:val="24"/>
        </w:rPr>
        <w:t>0 vulnerabilidades OWASP críticas, TLS 1.3, no-repudio blockchain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Confiabilidad: </w:t>
      </w:r>
      <w:r>
        <w:rPr>
          <w:rFonts w:ascii="Times New Roman" w:hAnsi="Times New Roman"/>
          <w:b w:val="0"/>
          <w:i w:val="0"/>
          <w:color w:val="000000"/>
          <w:sz w:val="24"/>
        </w:rPr>
        <w:t>Uptime 99.72%, MTTR 18 min, 0 pérdida de datos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Desempeño: </w:t>
      </w:r>
      <w:r>
        <w:rPr>
          <w:rFonts w:ascii="Times New Roman" w:hAnsi="Times New Roman"/>
          <w:b w:val="0"/>
          <w:i w:val="0"/>
          <w:color w:val="000000"/>
          <w:sz w:val="24"/>
        </w:rPr>
        <w:t>Latencia p95 1,124 ms @ 500 usuarios; throughput 100+ req/s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Mantenibilidad: </w:t>
      </w:r>
      <w:r>
        <w:rPr>
          <w:rFonts w:ascii="Times New Roman" w:hAnsi="Times New Roman"/>
          <w:b w:val="0"/>
          <w:i w:val="0"/>
          <w:color w:val="000000"/>
          <w:sz w:val="24"/>
        </w:rPr>
        <w:t>Arquitectura Spring en capas facilita mantenimiento; SonarQube integrado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5. Lecciones Aprendidas Clave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 Spring Boot facilita la integración empresarial, pero requiere tuning explícito. </w:t>
      </w:r>
      <w:r>
        <w:rPr>
          <w:rFonts w:ascii="Times New Roman" w:hAnsi="Times New Roman"/>
          <w:b w:val="0"/>
          <w:i w:val="0"/>
          <w:color w:val="000000"/>
          <w:sz w:val="24"/>
        </w:rPr>
        <w:t>HikariCP pool, JVM heap (-Xmx y -Xms), y thread pools necesitan configuración explícita para entornos de alta concurrencia. Usar valores por defecto causó el incidente P1 (agotamiento de conexiones). Lección: siempre definir spring.datasource.hikari.* desde el inicio.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 Separar frontend y backend en repositorios distintos fue correcto. </w:t>
      </w:r>
      <w:r>
        <w:rPr>
          <w:rFonts w:ascii="Times New Roman" w:hAnsi="Times New Roman"/>
          <w:b w:val="0"/>
          <w:i w:val="0"/>
          <w:color w:val="000000"/>
          <w:sz w:val="24"/>
        </w:rPr>
        <w:t>Repositorios independientes (siladocs-frontend + siladocs-backend) permitieron pipelines CI/CD separadas, ciclos de release independientes, y equipos dedicados a cada capa sin conflictos de merge.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3. Spring Boot Actuator es observabilidad gratuita. </w:t>
      </w:r>
      <w:r>
        <w:rPr>
          <w:rFonts w:ascii="Times New Roman" w:hAnsi="Times New Roman"/>
          <w:b w:val="0"/>
          <w:i w:val="0"/>
          <w:color w:val="000000"/>
          <w:sz w:val="24"/>
        </w:rPr>
        <w:t>Activar Actuator desde el inicio (spring-boot-starter-actuator) y exportar métricas a Azure Monitor no tuvo costo adicional y proporcionó visibilidad completa del estado JVM, conexiones y endpoints.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4. Hyperledger Fabric requiere operador especializado. </w:t>
      </w:r>
      <w:r>
        <w:rPr>
          <w:rFonts w:ascii="Times New Roman" w:hAnsi="Times New Roman"/>
          <w:b w:val="0"/>
          <w:i w:val="0"/>
          <w:color w:val="000000"/>
          <w:sz w:val="24"/>
        </w:rPr>
        <w:t>La gestión de peers, orderers, canales y certificados Fabric es compleja. Se recomienda designar un ingeniero de blockchain dedicado y documentar todos los procedimientos de operación en runbooks.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5. Testing en Spring Boot: usar @SpringBootTest con moderación. </w:t>
      </w:r>
      <w:r>
        <w:rPr>
          <w:rFonts w:ascii="Times New Roman" w:hAnsi="Times New Roman"/>
          <w:b w:val="0"/>
          <w:i w:val="0"/>
          <w:color w:val="000000"/>
          <w:sz w:val="24"/>
        </w:rPr>
        <w:t>Tests de integración con contexto completo (@SpringBootTest) son lentos (10–30 s por test). Preferir slices (@WebMvcTest para controllers, @DataJpaTest para repos) para mantener la suite de tests rápida (&lt; 2 min total).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6. Trabajo Futuro — Fase 2 (Priorizado)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P1: Integraciones con Google Drive y OneDrive (40 h). </w:t>
      </w:r>
      <w:r>
        <w:rPr>
          <w:rFonts w:ascii="Times New Roman" w:hAnsi="Times New Roman"/>
          <w:b w:val="0"/>
          <w:i w:val="0"/>
          <w:color w:val="000000"/>
          <w:sz w:val="24"/>
        </w:rPr>
        <w:t>Importación directa de documentos con OAuth 2.0. +25% en adopción esperada.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P2: SSO con SAML 2.0 / OIDC en Spring Security (30 h). </w:t>
      </w:r>
      <w:r>
        <w:rPr>
          <w:rFonts w:ascii="Times New Roman" w:hAnsi="Times New Roman"/>
          <w:b w:val="0"/>
          <w:i w:val="0"/>
          <w:color w:val="000000"/>
          <w:sz w:val="24"/>
        </w:rPr>
        <w:t>Autenticación federada con directorio corporativo universitario.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P3: Caché Redis ampliado + Pool de conexiones Fabric (20 h). </w:t>
      </w:r>
      <w:r>
        <w:rPr>
          <w:rFonts w:ascii="Times New Roman" w:hAnsi="Times New Roman"/>
          <w:b w:val="0"/>
          <w:i w:val="0"/>
          <w:color w:val="000000"/>
          <w:sz w:val="24"/>
        </w:rPr>
        <w:t>Reducir latencia a p95 &lt; 800 ms y soportar 2,000+ usuarios.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P4: Spring Batch para reportes masivos (35 h). </w:t>
      </w:r>
      <w:r>
        <w:rPr>
          <w:rFonts w:ascii="Times New Roman" w:hAnsi="Times New Roman"/>
          <w:b w:val="0"/>
          <w:i w:val="0"/>
          <w:color w:val="000000"/>
          <w:sz w:val="24"/>
        </w:rPr>
        <w:t>Generación nocturna de reportes de auditoría sin impacto en producción.</w:t>
      </w:r>
    </w:p>
    <w:p>
      <w:pPr>
        <w:spacing w:line="480" w:lineRule="auto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P5: Migración a Spring WebFlux (reactivo) (80 h). </w:t>
      </w:r>
      <w:r>
        <w:rPr>
          <w:rFonts w:ascii="Times New Roman" w:hAnsi="Times New Roman"/>
          <w:b w:val="0"/>
          <w:i w:val="0"/>
          <w:color w:val="000000"/>
          <w:sz w:val="24"/>
        </w:rPr>
        <w:t>Si se requiere escalar a 10,000+ usuarios, Spring WebFlux ofrece I/O no bloqueante con menor uso de threads.</w:t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7. Reflexión Final</w:t>
      </w:r>
    </w:p>
    <w:p>
      <w:pPr>
        <w:spacing w:line="480" w:lineRule="auto" w:before="0" w:after="0"/>
        <w:ind w:firstLine="72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El desarrollo de SilaDocs fue un ejercicio completo de ingeniería de software: especificación de requisitos, diseño de API REST con Spring Boot, integración con blockchain, y operación sostenible en nube. Los desafíos principales fueron: (1) integrar Hyperledger Fabric sin comprometer la simplicidad de la API Spring; (2) lograr disponibilidad 24/7 en Azure App Service con equipo pequeño; (3) garantizar consistencia de datos entre PostgreSQL y el ledger de Fabric. La solución demuestra que Spring Boot es una plataforma madura y confiable para sistemas críticos en educación, con ecosistema de herramientas que aceleran desarrollo y operación.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Referencias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Bangor, A., Kortum, P. T., &amp; Miller, J. T. (2008). An empirical evaluation of the System Usability Scale. International Journal of Human-Computer Interaction, 24(6), 574–594.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Hyperledger Foundation. (2023). Hyperledger Fabric v2.5 documentation. Linux Foundation. https://hyperledger-fabric.readthedocs.io/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ISO/IEC. (2023). ISO/IEC 25010:2023 — Product quality model. International Organization for Standardization.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Microsoft. (2024). Deploy Spring Boot apps to Azure App Service. https://learn.microsoft.com/en-us/azure/app-service/quickstart-java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Newman, S. (2019). Building microservices: Designing fine-grained systems (2.ª ed.). O'Reilly Media.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Nygard, M. T. (2018). Release it! Design and deploy production-ready software (2.ª ed.). Pragmatic Bookshelf.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Pivotal. (2023). Spring Boot Reference Documentation (v3.2.x). VMware Tanzu. https://docs.spring.io/spring-boot/docs/3.2.x/reference/html/</w:t>
      </w:r>
    </w:p>
    <w:p>
      <w:pPr>
        <w:spacing w:line="480" w:lineRule="auto"/>
        <w:ind w:left="720" w:hanging="720"/>
      </w:pPr>
      <w:r>
        <w:rPr>
          <w:rFonts w:ascii="Times New Roman" w:hAnsi="Times New Roman"/>
          <w:b w:val="0"/>
          <w:i w:val="0"/>
          <w:color w:val="000000"/>
          <w:sz w:val="24"/>
        </w:rPr>
        <w:t>Walls, C. (2022). Spring in action (6.ª ed.). Manning Publications.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b w:val="0"/>
        <w:i w:val="0"/>
        <w:color w:val="000000"/>
        <w:sz w:val="24"/>
      </w:rPr>
      <w:t>SILADOCS: CONCLUSIONES Y LECCIONES APRENDIDAS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