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jc w:val="center"/>
      </w:pPr>
      <w:r>
        <w:rPr>
          <w:rFonts w:ascii="Times New Roman" w:hAnsi="Times New Roman"/>
          <w:b/>
          <w:i w:val="0"/>
          <w:color w:val="000000"/>
          <w:sz w:val="24"/>
        </w:rPr>
        <w:t>Protocolo de Validación de Producto Software</w:t>
      </w:r>
    </w:p>
    <w:p>
      <w:pPr>
        <w:spacing w:line="480" w:lineRule="auto"/>
        <w:jc w:val="center"/>
      </w:pPr>
      <w:r>
        <w:rPr>
          <w:rFonts w:ascii="Times New Roman" w:hAnsi="Times New Roman"/>
          <w:b w:val="0"/>
          <w:i w:val="0"/>
          <w:color w:val="000000"/>
          <w:sz w:val="24"/>
        </w:rPr>
        <w:t>Sistema de Gestión de Sílabos con Blockchain bajo Modelo SaaS</w:t>
      </w:r>
    </w:p>
    <w:p>
      <w:pPr>
        <w:spacing w:line="480" w:lineRule="auto" w:before="0" w:after="0"/>
        <w:jc w:val="left"/>
      </w:pPr>
    </w:p>
    <w:p>
      <w:pPr>
        <w:spacing w:line="480" w:lineRule="auto" w:before="0" w:after="0"/>
        <w:jc w:val="left"/>
      </w:pPr>
    </w:p>
    <w:p>
      <w:pPr>
        <w:spacing w:line="480" w:lineRule="auto"/>
        <w:jc w:val="center"/>
      </w:pPr>
      <w:r>
        <w:rPr>
          <w:rFonts w:ascii="Times New Roman" w:hAnsi="Times New Roman"/>
          <w:b w:val="0"/>
          <w:i w:val="0"/>
          <w:color w:val="000000"/>
          <w:sz w:val="24"/>
        </w:rPr>
        <w:t>Universidad / Institución Educativa</w:t>
      </w:r>
    </w:p>
    <w:p>
      <w:pPr>
        <w:spacing w:line="480" w:lineRule="auto"/>
        <w:jc w:val="center"/>
      </w:pPr>
      <w:r>
        <w:rPr>
          <w:rFonts w:ascii="Times New Roman" w:hAnsi="Times New Roman"/>
          <w:b w:val="0"/>
          <w:i w:val="0"/>
          <w:color w:val="000000"/>
          <w:sz w:val="24"/>
        </w:rPr>
        <w:t>Equipo de Desarrollo SilaDocs</w:t>
      </w:r>
    </w:p>
    <w:p>
      <w:pPr>
        <w:spacing w:line="480" w:lineRule="auto"/>
        <w:jc w:val="center"/>
      </w:pPr>
      <w:r>
        <w:rPr>
          <w:rFonts w:ascii="Times New Roman" w:hAnsi="Times New Roman"/>
          <w:b w:val="0"/>
          <w:i w:val="0"/>
          <w:color w:val="000000"/>
          <w:sz w:val="24"/>
        </w:rPr>
        <w:t>Junio 2026</w:t>
      </w:r>
    </w:p>
    <w:p>
      <w:r>
        <w:br w:type="page"/>
      </w:r>
    </w:p>
    <w:p>
      <w:pPr>
        <w:spacing w:line="480" w:lineRule="auto" w:before="0" w:after="0"/>
        <w:jc w:val="center"/>
      </w:pPr>
      <w:r>
        <w:rPr>
          <w:rFonts w:ascii="Times New Roman" w:hAnsi="Times New Roman"/>
          <w:b/>
          <w:i w:val="0"/>
          <w:color w:val="000000"/>
          <w:sz w:val="24"/>
        </w:rPr>
        <w:t>Resumen</w:t>
      </w:r>
    </w:p>
    <w:p>
      <w:pPr>
        <w:spacing w:line="480" w:lineRule="auto" w:before="0" w:after="0"/>
        <w:ind w:firstLine="720"/>
        <w:jc w:val="left"/>
      </w:pPr>
      <w:r>
        <w:rPr>
          <w:rFonts w:ascii="Times New Roman" w:hAnsi="Times New Roman"/>
          <w:b w:val="0"/>
          <w:i w:val="0"/>
          <w:color w:val="000000"/>
          <w:sz w:val="24"/>
        </w:rPr>
        <w:t>El presente protocolo establece el marco metodológico para la validación del Sistema de Gestión de Sílabos con Blockchain (SilaDocs), desarrollado bajo el paradigma de Software como Servicio (SaaS). La validación adopta un enfoque mixto (cuantitativo y cualitativo) fundamentado en el estándar ISO/IEC 25010:2023, que define el modelo de calidad del producto de software en ocho características principales (ISO/IEC, 2023). El protocolo comprende cuatro fases: pruebas unitarias automatizadas, pruebas de integración end-to-end, pruebas de sistema bajo carga, y pruebas de aceptación de usuario. Los criterios de aceptación se alinean con métricas derivadas de ISO/IEC 25023:2016 para garantizar objetividad y trazabilidad en los resultados (ISO/IEC, 2016).</w:t>
      </w:r>
    </w:p>
    <w:p>
      <w:pPr>
        <w:spacing w:line="480" w:lineRule="auto" w:before="0" w:after="0"/>
        <w:jc w:val="left"/>
      </w:pPr>
    </w:p>
    <w:p>
      <w:pPr>
        <w:spacing w:line="480" w:lineRule="auto"/>
        <w:ind w:firstLine="720"/>
      </w:pPr>
      <w:r>
        <w:rPr>
          <w:rFonts w:ascii="Times New Roman" w:hAnsi="Times New Roman"/>
          <w:b w:val="0"/>
          <w:i/>
          <w:color w:val="000000"/>
          <w:sz w:val="24"/>
        </w:rPr>
        <w:t xml:space="preserve">Palabras clave: </w:t>
      </w:r>
      <w:r>
        <w:rPr>
          <w:rFonts w:ascii="Times New Roman" w:hAnsi="Times New Roman"/>
          <w:b w:val="0"/>
          <w:i w:val="0"/>
          <w:color w:val="000000"/>
          <w:sz w:val="24"/>
        </w:rPr>
        <w:t>validación de software, ISO/IEC 25010, blockchain, SaaS, calidad de producto</w:t>
      </w:r>
    </w:p>
    <w:p>
      <w:r>
        <w:br w:type="page"/>
      </w:r>
    </w:p>
    <w:p>
      <w:pPr>
        <w:spacing w:line="480" w:lineRule="auto" w:before="0" w:after="0"/>
        <w:jc w:val="center"/>
      </w:pPr>
      <w:r>
        <w:rPr>
          <w:rFonts w:ascii="Times New Roman" w:hAnsi="Times New Roman"/>
          <w:b/>
          <w:i w:val="0"/>
          <w:color w:val="000000"/>
          <w:sz w:val="24"/>
        </w:rPr>
        <w:t>1. Introducción</w:t>
      </w:r>
    </w:p>
    <w:p>
      <w:pPr>
        <w:spacing w:line="480" w:lineRule="auto" w:before="0" w:after="0"/>
        <w:ind w:firstLine="720"/>
        <w:jc w:val="left"/>
      </w:pPr>
      <w:r>
        <w:rPr>
          <w:rFonts w:ascii="Times New Roman" w:hAnsi="Times New Roman"/>
          <w:b w:val="0"/>
          <w:i w:val="0"/>
          <w:color w:val="000000"/>
          <w:sz w:val="24"/>
        </w:rPr>
        <w:t>La validación de software constituye una actividad crítica en el ciclo de vida del desarrollo de sistemas, orientada a verificar que el producto satisface los requisitos del usuario y las especificaciones funcionales establecidas (Pressman &amp; Maxim, 2015). En sistemas que incorporan tecnología blockchain, la validación adquiere una dimensión adicional: garantizar la integridad, inmutabilidad y trazabilidad de los registros digitales (Buterin, 2014).</w:t>
      </w:r>
    </w:p>
    <w:p>
      <w:pPr>
        <w:spacing w:line="480" w:lineRule="auto" w:before="0" w:after="0"/>
        <w:ind w:firstLine="720"/>
        <w:jc w:val="left"/>
      </w:pPr>
      <w:r>
        <w:rPr>
          <w:rFonts w:ascii="Times New Roman" w:hAnsi="Times New Roman"/>
          <w:b w:val="0"/>
          <w:i w:val="0"/>
          <w:color w:val="000000"/>
          <w:sz w:val="24"/>
        </w:rPr>
        <w:t>SilaDocs es un sistema SaaS diseñado para gestionar la emisión y trazabilidad de sílabos académicos, integrando Hyperledger Fabric como plataforma blockchain permisionada (Hyperledger Foundation, 2023). El presente protocolo define los procedimientos, instrumentos y criterios de evaluación aplicables a la validación de la primera fase funcional del sistema, excluyendo integraciones externas con servicios de almacenamiento en la nube (Google Drive, OneDrive), previstas para una fase posterior.</w:t>
      </w:r>
    </w:p>
    <w:p>
      <w:pPr>
        <w:spacing w:line="480" w:lineRule="auto" w:before="0" w:after="0"/>
        <w:jc w:val="left"/>
      </w:pPr>
      <w:r>
        <w:rPr>
          <w:rFonts w:ascii="Times New Roman" w:hAnsi="Times New Roman"/>
          <w:b/>
          <w:i w:val="0"/>
          <w:color w:val="000000"/>
          <w:sz w:val="24"/>
        </w:rPr>
        <w:t>1.1 Objetivo del Protocolo</w:t>
      </w:r>
    </w:p>
    <w:p>
      <w:pPr>
        <w:spacing w:line="480" w:lineRule="auto" w:before="0" w:after="0"/>
        <w:ind w:firstLine="720"/>
        <w:jc w:val="left"/>
      </w:pPr>
      <w:r>
        <w:rPr>
          <w:rFonts w:ascii="Times New Roman" w:hAnsi="Times New Roman"/>
          <w:b w:val="0"/>
          <w:i w:val="0"/>
          <w:color w:val="000000"/>
          <w:sz w:val="24"/>
        </w:rPr>
        <w:t>Definir el marco metodológico, los instrumentos de medición y los criterios de aceptación para validar que SilaDocs cumple con los atributos de calidad establecidos en ISO/IEC 25010:2023, abarcando funcionalidad, confiabilidad, usabilidad, eficiencia de desempeño, mantenibilidad, portabilidad y seguridad (ISO/IEC, 2023).</w:t>
      </w:r>
    </w:p>
    <w:p>
      <w:pPr>
        <w:spacing w:line="480" w:lineRule="auto" w:before="0" w:after="0"/>
        <w:jc w:val="left"/>
      </w:pPr>
      <w:r>
        <w:rPr>
          <w:rFonts w:ascii="Times New Roman" w:hAnsi="Times New Roman"/>
          <w:b/>
          <w:i w:val="0"/>
          <w:color w:val="000000"/>
          <w:sz w:val="24"/>
        </w:rPr>
        <w:t>1.2 Alcance</w:t>
      </w:r>
    </w:p>
    <w:p>
      <w:pPr>
        <w:spacing w:line="480" w:lineRule="auto" w:before="0" w:after="0"/>
        <w:ind w:firstLine="720"/>
        <w:jc w:val="left"/>
      </w:pPr>
      <w:r>
        <w:rPr>
          <w:rFonts w:ascii="Times New Roman" w:hAnsi="Times New Roman"/>
          <w:b w:val="0"/>
          <w:i w:val="0"/>
          <w:color w:val="000000"/>
          <w:sz w:val="24"/>
        </w:rPr>
        <w:t>El protocolo aplica a los siguientes módulos del sistema: (a) gestión de catálogo académico (carreras, mallas curriculares y cursos); (b) carga y gestión de sílabos; (c) registro en blockchain y trazabilidad documental; (d) carga masiva de documentos; (e) portal de verificación pública; y (f) autenticación y control de acceso basado en roles (RBAC). Las pruebas se ejecutan sobre el entorno de producción alojado en Azure App Service, con Hyperledger Fabric en red de laboratorio.</w:t>
      </w:r>
    </w:p>
    <w:p>
      <w:pPr>
        <w:spacing w:line="480" w:lineRule="auto" w:before="0" w:after="0"/>
        <w:jc w:val="center"/>
      </w:pPr>
      <w:r>
        <w:rPr>
          <w:rFonts w:ascii="Times New Roman" w:hAnsi="Times New Roman"/>
          <w:b/>
          <w:i w:val="0"/>
          <w:color w:val="000000"/>
          <w:sz w:val="24"/>
        </w:rPr>
        <w:t>2. Marco Teórico y Normativo</w:t>
      </w:r>
    </w:p>
    <w:p>
      <w:pPr>
        <w:spacing w:line="480" w:lineRule="auto" w:before="0" w:after="0"/>
        <w:jc w:val="left"/>
      </w:pPr>
      <w:r>
        <w:rPr>
          <w:rFonts w:ascii="Times New Roman" w:hAnsi="Times New Roman"/>
          <w:b/>
          <w:i w:val="0"/>
          <w:color w:val="000000"/>
          <w:sz w:val="24"/>
        </w:rPr>
        <w:t>2.1 ISO/IEC 25010:2023 — Modelo de Calidad del Producto</w:t>
      </w:r>
    </w:p>
    <w:p>
      <w:pPr>
        <w:spacing w:line="480" w:lineRule="auto" w:before="0" w:after="0"/>
        <w:ind w:firstLine="720"/>
        <w:jc w:val="left"/>
      </w:pPr>
      <w:r>
        <w:rPr>
          <w:rFonts w:ascii="Times New Roman" w:hAnsi="Times New Roman"/>
          <w:b w:val="0"/>
          <w:i w:val="0"/>
          <w:color w:val="000000"/>
          <w:sz w:val="24"/>
        </w:rPr>
        <w:t>El estándar ISO/IEC 25010:2023 (reemplaza a ISO/IEC 25010:2011) define el modelo de calidad de sistemas y software, organizando los atributos de calidad en ocho características: adecuación funcional, eficiencia de desempeño, compatibilidad, usabilidad, confiabilidad, seguridad, mantenibilidad y portabilidad. Cada característica se descompone en sub-características medibles mediante métricas definidas en ISO/IEC 25023:2016 (ISO/IEC, 2023; ISO/IEC, 2016).</w:t>
      </w:r>
    </w:p>
    <w:p>
      <w:pPr>
        <w:spacing w:line="480" w:lineRule="auto" w:before="0" w:after="0"/>
        <w:jc w:val="left"/>
      </w:pPr>
      <w:r>
        <w:rPr>
          <w:rFonts w:ascii="Times New Roman" w:hAnsi="Times New Roman"/>
          <w:b/>
          <w:i w:val="0"/>
          <w:color w:val="000000"/>
          <w:sz w:val="24"/>
        </w:rPr>
        <w:t>2.2 IEEE 829 — Documentación de Pruebas</w:t>
      </w:r>
    </w:p>
    <w:p>
      <w:pPr>
        <w:spacing w:line="480" w:lineRule="auto" w:before="0" w:after="0"/>
        <w:ind w:firstLine="720"/>
        <w:jc w:val="left"/>
      </w:pPr>
      <w:r>
        <w:rPr>
          <w:rFonts w:ascii="Times New Roman" w:hAnsi="Times New Roman"/>
          <w:b w:val="0"/>
          <w:i w:val="0"/>
          <w:color w:val="000000"/>
          <w:sz w:val="24"/>
        </w:rPr>
        <w:t>El estándar IEEE 829-2008 (IEEE Standard for Software and System Test Documentation) establece la estructura y contenido de los documentos de prueba, incluyendo el plan de pruebas, la especificación de diseño de pruebas, los casos de prueba y los informes de resultados. El presente protocolo adopta la terminología y estructura de este estándar (IEEE, 2008).</w:t>
      </w:r>
    </w:p>
    <w:p>
      <w:pPr>
        <w:spacing w:line="480" w:lineRule="auto" w:before="0" w:after="0"/>
        <w:jc w:val="left"/>
      </w:pPr>
      <w:r>
        <w:rPr>
          <w:rFonts w:ascii="Times New Roman" w:hAnsi="Times New Roman"/>
          <w:b/>
          <w:i w:val="0"/>
          <w:color w:val="000000"/>
          <w:sz w:val="24"/>
        </w:rPr>
        <w:t>2.3 System Usability Scale (SUS)</w:t>
      </w:r>
    </w:p>
    <w:p>
      <w:pPr>
        <w:spacing w:line="480" w:lineRule="auto" w:before="0" w:after="0"/>
        <w:ind w:firstLine="720"/>
        <w:jc w:val="left"/>
      </w:pPr>
      <w:r>
        <w:rPr>
          <w:rFonts w:ascii="Times New Roman" w:hAnsi="Times New Roman"/>
          <w:b w:val="0"/>
          <w:i w:val="0"/>
          <w:color w:val="000000"/>
          <w:sz w:val="24"/>
        </w:rPr>
        <w:t>La Escala de Usabilidad del Sistema (SUS) es un instrumento validado de 10 ítems desarrollado por Brooke (1996) para medir la usabilidad percibida. Puntajes ≥70 indican usabilidad aceptable; ≥85 indica excelente usabilidad (Bangor et al., 2008). Su confiabilidad (α de Cronbach = 0.91) y facilidad de administración lo hacen ampliamente utilizado en evaluaciones de sistemas de información (Brooke, 1996).</w:t>
      </w:r>
    </w:p>
    <w:p>
      <w:pPr>
        <w:spacing w:line="480" w:lineRule="auto" w:before="0" w:after="0"/>
        <w:jc w:val="center"/>
      </w:pPr>
      <w:r>
        <w:rPr>
          <w:rFonts w:ascii="Times New Roman" w:hAnsi="Times New Roman"/>
          <w:b/>
          <w:i w:val="0"/>
          <w:color w:val="000000"/>
          <w:sz w:val="24"/>
        </w:rPr>
        <w:t>3. Tipo de Protocolo: Mixto</w:t>
      </w:r>
    </w:p>
    <w:p>
      <w:pPr>
        <w:spacing w:line="480" w:lineRule="auto" w:before="0" w:after="0"/>
        <w:ind w:firstLine="720"/>
        <w:jc w:val="left"/>
      </w:pPr>
      <w:r>
        <w:rPr>
          <w:rFonts w:ascii="Times New Roman" w:hAnsi="Times New Roman"/>
          <w:b w:val="0"/>
          <w:i w:val="0"/>
          <w:color w:val="000000"/>
          <w:sz w:val="24"/>
        </w:rPr>
        <w:t>El protocolo adopta un diseño de método mixto (Creswell &amp; Creswell, 2018), integrando:</w:t>
      </w:r>
    </w:p>
    <w:p>
      <w:pPr>
        <w:spacing w:line="480" w:lineRule="auto"/>
        <w:ind w:left="720"/>
      </w:pPr>
      <w:r>
        <w:rPr>
          <w:rFonts w:ascii="Times New Roman" w:hAnsi="Times New Roman"/>
          <w:b/>
          <w:i w:val="0"/>
          <w:color w:val="000000"/>
          <w:sz w:val="24"/>
        </w:rPr>
        <w:t xml:space="preserve">(a) Componente cuantitativo. </w:t>
      </w:r>
      <w:r>
        <w:rPr>
          <w:rFonts w:ascii="Times New Roman" w:hAnsi="Times New Roman"/>
          <w:b w:val="0"/>
          <w:i w:val="0"/>
          <w:color w:val="000000"/>
          <w:sz w:val="24"/>
        </w:rPr>
        <w:t>Ejecución automatizada de 40 casos de prueba funcionales con Playwright, análisis de cobertura de código, métricas de desempeño (latencia p95, throughput) y métricas de seguridad (OWASP ZAP), con indicadores numéricos y umbrales objetivos.</w:t>
      </w:r>
    </w:p>
    <w:p>
      <w:pPr>
        <w:spacing w:line="480" w:lineRule="auto"/>
        <w:ind w:left="720"/>
      </w:pPr>
      <w:r>
        <w:rPr>
          <w:rFonts w:ascii="Times New Roman" w:hAnsi="Times New Roman"/>
          <w:b/>
          <w:i w:val="0"/>
          <w:color w:val="000000"/>
          <w:sz w:val="24"/>
        </w:rPr>
        <w:t xml:space="preserve">(b) Componente cualitativo. </w:t>
      </w:r>
      <w:r>
        <w:rPr>
          <w:rFonts w:ascii="Times New Roman" w:hAnsi="Times New Roman"/>
          <w:b w:val="0"/>
          <w:i w:val="0"/>
          <w:color w:val="000000"/>
          <w:sz w:val="24"/>
        </w:rPr>
        <w:t>Pruebas de usabilidad con usuarios reales (n = 15), encuesta SUS (Brooke, 1996), entrevistas semi-estructuradas e inspección experta de la interfaz mediante heurísticas de Nielsen (1994).</w:t>
      </w:r>
    </w:p>
    <w:p>
      <w:pPr>
        <w:spacing w:line="480" w:lineRule="auto" w:before="0" w:after="0"/>
        <w:jc w:val="center"/>
      </w:pPr>
      <w:r>
        <w:rPr>
          <w:rFonts w:ascii="Times New Roman" w:hAnsi="Times New Roman"/>
          <w:b/>
          <w:i w:val="0"/>
          <w:color w:val="000000"/>
          <w:sz w:val="24"/>
        </w:rPr>
        <w:t>4. Metodología: Fases del Protocolo</w:t>
      </w:r>
    </w:p>
    <w:p>
      <w:pPr>
        <w:spacing w:line="480" w:lineRule="auto" w:before="0" w:after="0"/>
        <w:jc w:val="left"/>
      </w:pPr>
      <w:r>
        <w:rPr>
          <w:rFonts w:ascii="Times New Roman" w:hAnsi="Times New Roman"/>
          <w:b/>
          <w:i w:val="0"/>
          <w:color w:val="000000"/>
          <w:sz w:val="24"/>
        </w:rPr>
        <w:t>4.1 Fase 1 — Pruebas Unitarias</w:t>
      </w:r>
    </w:p>
    <w:p>
      <w:pPr>
        <w:spacing w:line="480" w:lineRule="auto" w:before="0" w:after="0"/>
        <w:ind w:firstLine="720"/>
        <w:jc w:val="left"/>
      </w:pPr>
      <w:r>
        <w:rPr>
          <w:rFonts w:ascii="Times New Roman" w:hAnsi="Times New Roman"/>
          <w:b w:val="0"/>
          <w:i w:val="0"/>
          <w:color w:val="000000"/>
          <w:sz w:val="24"/>
        </w:rPr>
        <w:t>Objetivo: Verificar el comportamiento correcto de funciones y componentes individuales. Herramientas: Jest 29.x y React Testing Library. Métrica de aceptación: cobertura ≥ 70% de código crítico, conforme a umbrales industry-standard (Ammann &amp; Offutt, 2016).</w:t>
      </w:r>
    </w:p>
    <w:p>
      <w:pPr>
        <w:spacing w:line="480" w:lineRule="auto" w:before="0" w:after="0"/>
        <w:jc w:val="left"/>
      </w:pPr>
      <w:r>
        <w:rPr>
          <w:rFonts w:ascii="Times New Roman" w:hAnsi="Times New Roman"/>
          <w:b/>
          <w:i w:val="0"/>
          <w:color w:val="000000"/>
          <w:sz w:val="24"/>
        </w:rPr>
        <w:t>4.2 Fase 2 — Pruebas de Integración End-to-End</w:t>
      </w:r>
    </w:p>
    <w:p>
      <w:pPr>
        <w:spacing w:line="480" w:lineRule="auto" w:before="0" w:after="0"/>
        <w:ind w:firstLine="720"/>
        <w:jc w:val="left"/>
      </w:pPr>
      <w:r>
        <w:rPr>
          <w:rFonts w:ascii="Times New Roman" w:hAnsi="Times New Roman"/>
          <w:b w:val="0"/>
          <w:i w:val="0"/>
          <w:color w:val="000000"/>
          <w:sz w:val="24"/>
        </w:rPr>
        <w:t>Objetivo: Validar flujos completos desde la interfaz hasta blockchain. Herramienta: Playwright v1.40 (navegadores Chromium, Firefox, WebKit). Escenarios cubiertos: registro de institución → autenticación → carga de sílabo → confirmación en cadena → verificación pública. Total: 40 casos de prueba (CP001–CP040) documentados conforme a IEEE 829-2008 (IEEE, 2008).</w:t>
      </w:r>
    </w:p>
    <w:p>
      <w:pPr>
        <w:spacing w:line="480" w:lineRule="auto" w:before="0" w:after="0"/>
        <w:jc w:val="left"/>
      </w:pPr>
      <w:r>
        <w:rPr>
          <w:rFonts w:ascii="Times New Roman" w:hAnsi="Times New Roman"/>
          <w:b/>
          <w:i w:val="0"/>
          <w:color w:val="000000"/>
          <w:sz w:val="24"/>
        </w:rPr>
        <w:t>4.3 Fase 3 — Pruebas de Sistema y Desempeño</w:t>
      </w:r>
    </w:p>
    <w:p>
      <w:pPr>
        <w:spacing w:line="480" w:lineRule="auto" w:before="0" w:after="0"/>
        <w:ind w:firstLine="720"/>
        <w:jc w:val="left"/>
      </w:pPr>
      <w:r>
        <w:rPr>
          <w:rFonts w:ascii="Times New Roman" w:hAnsi="Times New Roman"/>
          <w:b w:val="0"/>
          <w:i w:val="0"/>
          <w:color w:val="000000"/>
          <w:sz w:val="24"/>
        </w:rPr>
        <w:t>Objetivo: Evaluar comportamiento bajo carga y compatibilidad multi-navegador. Herramientas: Apache JMeter 5.6 para carga (100, 500 y 1,000 usuarios concurrentes), BrowserStack para compatibilidad. Métrica principal: latencia p95 &lt; 2 s bajo 500 usuarios (Nygard, 2018).</w:t>
      </w:r>
    </w:p>
    <w:p>
      <w:pPr>
        <w:spacing w:line="480" w:lineRule="auto" w:before="0" w:after="0"/>
        <w:jc w:val="left"/>
      </w:pPr>
      <w:r>
        <w:rPr>
          <w:rFonts w:ascii="Times New Roman" w:hAnsi="Times New Roman"/>
          <w:b/>
          <w:i w:val="0"/>
          <w:color w:val="000000"/>
          <w:sz w:val="24"/>
        </w:rPr>
        <w:t>4.4 Fase 4 — Pruebas de Aceptación de Usuario (UAT)</w:t>
      </w:r>
    </w:p>
    <w:p>
      <w:pPr>
        <w:spacing w:line="480" w:lineRule="auto" w:before="0" w:after="0"/>
        <w:ind w:firstLine="720"/>
        <w:jc w:val="left"/>
      </w:pPr>
      <w:r>
        <w:rPr>
          <w:rFonts w:ascii="Times New Roman" w:hAnsi="Times New Roman"/>
          <w:b w:val="0"/>
          <w:i w:val="0"/>
          <w:color w:val="000000"/>
          <w:sz w:val="24"/>
        </w:rPr>
        <w:t>Objetivo: Evaluar usabilidad percibida y satisfacción. Participantes: 15 usuarios finales (8 docentes, 4 coordinadores académicos, 3 administradores). Instrumentos: encuesta SUS (Brooke, 1996) + entrevista semi-estructurada de 10 minutos. Criterio de aceptación: puntuación SUS &gt; 70 (usabilidad aceptable, Bangor et al., 2008).</w:t>
      </w:r>
    </w:p>
    <w:p>
      <w:pPr>
        <w:spacing w:line="480" w:lineRule="auto" w:before="0" w:after="0"/>
        <w:jc w:val="center"/>
      </w:pPr>
      <w:r>
        <w:rPr>
          <w:rFonts w:ascii="Times New Roman" w:hAnsi="Times New Roman"/>
          <w:b/>
          <w:i w:val="0"/>
          <w:color w:val="000000"/>
          <w:sz w:val="24"/>
        </w:rPr>
        <w:t>5. Criterios de Aceptación</w:t>
      </w:r>
    </w:p>
    <w:p>
      <w:pPr>
        <w:spacing w:line="480" w:lineRule="auto" w:before="0" w:after="0"/>
        <w:ind w:firstLine="720"/>
        <w:jc w:val="left"/>
      </w:pPr>
      <w:r>
        <w:rPr>
          <w:rFonts w:ascii="Times New Roman" w:hAnsi="Times New Roman"/>
          <w:b w:val="0"/>
          <w:i w:val="0"/>
          <w:color w:val="000000"/>
          <w:sz w:val="24"/>
        </w:rPr>
        <w:t>La Tabla 1 presenta los criterios de aceptación para cada característica de calidad, alineados con ISO/IEC 25010:2023 y con umbrales validados en la literatura.</w:t>
      </w:r>
    </w:p>
    <w:p>
      <w:pPr>
        <w:spacing w:line="480" w:lineRule="auto" w:before="0" w:after="0"/>
        <w:jc w:val="left"/>
      </w:pPr>
    </w:p>
    <w:p>
      <w:pPr>
        <w:spacing w:line="480" w:lineRule="auto"/>
        <w:jc w:val="center"/>
      </w:pPr>
      <w:r>
        <w:rPr>
          <w:rFonts w:ascii="Times New Roman" w:hAnsi="Times New Roman"/>
          <w:b w:val="0"/>
          <w:i w:val="0"/>
          <w:color w:val="000000"/>
          <w:sz w:val="24"/>
        </w:rPr>
        <w:t>Tabla 1</w:t>
      </w:r>
    </w:p>
    <w:p>
      <w:pPr>
        <w:spacing w:line="480" w:lineRule="auto"/>
        <w:jc w:val="left"/>
      </w:pPr>
      <w:r>
        <w:rPr>
          <w:rFonts w:ascii="Times New Roman" w:hAnsi="Times New Roman"/>
          <w:b w:val="0"/>
          <w:i/>
          <w:color w:val="000000"/>
          <w:sz w:val="24"/>
        </w:rPr>
        <w:t>Criterios de Aceptación por Característica de Calidad (ISO/IEC 25010:2023)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D0D0D0"/>
          </w:tcPr>
          <w:p>
            <w:pPr>
              <w:spacing w:before="40" w:after="40"/>
              <w:jc w:val="left"/>
            </w:pPr>
            <w:r/>
            <w:r>
              <w:rPr>
                <w:rFonts w:ascii="Times New Roman" w:hAnsi="Times New Roman"/>
                <w:b/>
                <w:color w:val="000000"/>
                <w:sz w:val="20"/>
              </w:rPr>
              <w:t>Característica (ISO/IEC 25010)</w:t>
            </w:r>
          </w:p>
        </w:tc>
        <w:tc>
          <w:tcPr>
            <w:tcW w:type="dxa" w:w="2592"/>
            <w:shd w:val="clear" w:color="auto" w:fill="D0D0D0"/>
          </w:tcPr>
          <w:p>
            <w:pPr>
              <w:spacing w:before="40" w:after="40"/>
              <w:jc w:val="left"/>
            </w:pPr>
            <w:r/>
            <w:r>
              <w:rPr>
                <w:rFonts w:ascii="Times New Roman" w:hAnsi="Times New Roman"/>
                <w:b/>
                <w:color w:val="000000"/>
                <w:sz w:val="20"/>
              </w:rPr>
              <w:t>Métrica</w:t>
            </w:r>
          </w:p>
        </w:tc>
        <w:tc>
          <w:tcPr>
            <w:tcW w:type="dxa" w:w="2160"/>
            <w:shd w:val="clear" w:color="auto" w:fill="D0D0D0"/>
          </w:tcPr>
          <w:p>
            <w:pPr>
              <w:spacing w:before="40" w:after="40"/>
              <w:jc w:val="left"/>
            </w:pPr>
            <w:r/>
            <w:r>
              <w:rPr>
                <w:rFonts w:ascii="Times New Roman" w:hAnsi="Times New Roman"/>
                <w:b/>
                <w:color w:val="000000"/>
                <w:sz w:val="20"/>
              </w:rPr>
              <w:t>Umbral de Aceptación</w:t>
            </w:r>
          </w:p>
        </w:tc>
        <w:tc>
          <w:tcPr>
            <w:tcW w:type="dxa" w:w="2160"/>
            <w:shd w:val="clear" w:color="auto" w:fill="D0D0D0"/>
          </w:tcPr>
          <w:p>
            <w:pPr>
              <w:spacing w:before="40" w:after="40"/>
              <w:jc w:val="left"/>
            </w:pPr>
            <w:r/>
            <w:r>
              <w:rPr>
                <w:rFonts w:ascii="Times New Roman" w:hAnsi="Times New Roman"/>
                <w:b/>
                <w:color w:val="000000"/>
                <w:sz w:val="20"/>
              </w:rPr>
              <w:t>Referencia</w:t>
            </w:r>
          </w:p>
        </w:tc>
      </w:tr>
      <w:tr>
        <w:tc>
          <w:tcPr>
            <w:tcW w:type="dxa" w:w="2880"/>
          </w:tcPr>
          <w:p>
            <w:pPr>
              <w:spacing w:before="40" w:after="40"/>
              <w:jc w:val="left"/>
            </w:pPr>
            <w:r/>
            <w:r>
              <w:rPr>
                <w:rFonts w:ascii="Times New Roman" w:hAnsi="Times New Roman"/>
                <w:b w:val="0"/>
                <w:color w:val="000000"/>
                <w:sz w:val="20"/>
              </w:rPr>
              <w:t>Adecuación funcional</w:t>
            </w:r>
          </w:p>
        </w:tc>
        <w:tc>
          <w:tcPr>
            <w:tcW w:type="dxa" w:w="2592"/>
          </w:tcPr>
          <w:p>
            <w:pPr>
              <w:spacing w:before="40" w:after="40"/>
              <w:jc w:val="left"/>
            </w:pPr>
            <w:r/>
            <w:r>
              <w:rPr>
                <w:rFonts w:ascii="Times New Roman" w:hAnsi="Times New Roman"/>
                <w:b w:val="0"/>
                <w:color w:val="000000"/>
                <w:sz w:val="20"/>
              </w:rPr>
              <w:t>Tasa de casos pasados (%)</w:t>
            </w:r>
          </w:p>
        </w:tc>
        <w:tc>
          <w:tcPr>
            <w:tcW w:type="dxa" w:w="2160"/>
          </w:tcPr>
          <w:p>
            <w:pPr>
              <w:spacing w:before="40" w:after="40"/>
              <w:jc w:val="left"/>
            </w:pPr>
            <w:r/>
            <w:r>
              <w:rPr>
                <w:rFonts w:ascii="Times New Roman" w:hAnsi="Times New Roman"/>
                <w:b w:val="0"/>
                <w:color w:val="000000"/>
                <w:sz w:val="20"/>
              </w:rPr>
              <w:t>≥ 98%</w:t>
            </w:r>
          </w:p>
        </w:tc>
        <w:tc>
          <w:tcPr>
            <w:tcW w:type="dxa" w:w="2160"/>
          </w:tcPr>
          <w:p>
            <w:pPr>
              <w:spacing w:before="40" w:after="40"/>
              <w:jc w:val="left"/>
            </w:pPr>
            <w:r/>
            <w:r>
              <w:rPr>
                <w:rFonts w:ascii="Times New Roman" w:hAnsi="Times New Roman"/>
                <w:b w:val="0"/>
                <w:color w:val="000000"/>
                <w:sz w:val="20"/>
              </w:rPr>
              <w:t>ISO/IEC 25023 (2016)</w:t>
            </w:r>
          </w:p>
        </w:tc>
      </w:tr>
      <w:tr>
        <w:tc>
          <w:tcPr>
            <w:tcW w:type="dxa" w:w="2880"/>
          </w:tcPr>
          <w:p>
            <w:pPr>
              <w:spacing w:before="40" w:after="40"/>
              <w:jc w:val="left"/>
            </w:pPr>
            <w:r/>
            <w:r>
              <w:rPr>
                <w:rFonts w:ascii="Times New Roman" w:hAnsi="Times New Roman"/>
                <w:b w:val="0"/>
                <w:color w:val="000000"/>
                <w:sz w:val="20"/>
              </w:rPr>
              <w:t>Adecuación funcional</w:t>
            </w:r>
          </w:p>
        </w:tc>
        <w:tc>
          <w:tcPr>
            <w:tcW w:type="dxa" w:w="2592"/>
          </w:tcPr>
          <w:p>
            <w:pPr>
              <w:spacing w:before="40" w:after="40"/>
              <w:jc w:val="left"/>
            </w:pPr>
            <w:r/>
            <w:r>
              <w:rPr>
                <w:rFonts w:ascii="Times New Roman" w:hAnsi="Times New Roman"/>
                <w:b w:val="0"/>
                <w:color w:val="000000"/>
                <w:sz w:val="20"/>
              </w:rPr>
              <w:t>Defectos críticos (#)</w:t>
            </w:r>
          </w:p>
        </w:tc>
        <w:tc>
          <w:tcPr>
            <w:tcW w:type="dxa" w:w="2160"/>
          </w:tcPr>
          <w:p>
            <w:pPr>
              <w:spacing w:before="40" w:after="40"/>
              <w:jc w:val="left"/>
            </w:pPr>
            <w:r/>
            <w:r>
              <w:rPr>
                <w:rFonts w:ascii="Times New Roman" w:hAnsi="Times New Roman"/>
                <w:b w:val="0"/>
                <w:color w:val="000000"/>
                <w:sz w:val="20"/>
              </w:rPr>
              <w:t>0</w:t>
            </w:r>
          </w:p>
        </w:tc>
        <w:tc>
          <w:tcPr>
            <w:tcW w:type="dxa" w:w="2160"/>
          </w:tcPr>
          <w:p>
            <w:pPr>
              <w:spacing w:before="40" w:after="40"/>
              <w:jc w:val="left"/>
            </w:pPr>
            <w:r/>
            <w:r>
              <w:rPr>
                <w:rFonts w:ascii="Times New Roman" w:hAnsi="Times New Roman"/>
                <w:b w:val="0"/>
                <w:color w:val="000000"/>
                <w:sz w:val="20"/>
              </w:rPr>
              <w:t>IEEE 829 (2008)</w:t>
            </w:r>
          </w:p>
        </w:tc>
      </w:tr>
      <w:tr>
        <w:tc>
          <w:tcPr>
            <w:tcW w:type="dxa" w:w="2880"/>
          </w:tcPr>
          <w:p>
            <w:pPr>
              <w:spacing w:before="40" w:after="40"/>
              <w:jc w:val="left"/>
            </w:pPr>
            <w:r/>
            <w:r>
              <w:rPr>
                <w:rFonts w:ascii="Times New Roman" w:hAnsi="Times New Roman"/>
                <w:b w:val="0"/>
                <w:color w:val="000000"/>
                <w:sz w:val="20"/>
              </w:rPr>
              <w:t>Eficiencia de desempeño</w:t>
            </w:r>
          </w:p>
        </w:tc>
        <w:tc>
          <w:tcPr>
            <w:tcW w:type="dxa" w:w="2592"/>
          </w:tcPr>
          <w:p>
            <w:pPr>
              <w:spacing w:before="40" w:after="40"/>
              <w:jc w:val="left"/>
            </w:pPr>
            <w:r/>
            <w:r>
              <w:rPr>
                <w:rFonts w:ascii="Times New Roman" w:hAnsi="Times New Roman"/>
                <w:b w:val="0"/>
                <w:color w:val="000000"/>
                <w:sz w:val="20"/>
              </w:rPr>
              <w:t>Latencia p95 (ms)</w:t>
            </w:r>
          </w:p>
        </w:tc>
        <w:tc>
          <w:tcPr>
            <w:tcW w:type="dxa" w:w="2160"/>
          </w:tcPr>
          <w:p>
            <w:pPr>
              <w:spacing w:before="40" w:after="40"/>
              <w:jc w:val="left"/>
            </w:pPr>
            <w:r/>
            <w:r>
              <w:rPr>
                <w:rFonts w:ascii="Times New Roman" w:hAnsi="Times New Roman"/>
                <w:b w:val="0"/>
                <w:color w:val="000000"/>
                <w:sz w:val="20"/>
              </w:rPr>
              <w:t>&lt; 2,000 ms</w:t>
            </w:r>
          </w:p>
        </w:tc>
        <w:tc>
          <w:tcPr>
            <w:tcW w:type="dxa" w:w="2160"/>
          </w:tcPr>
          <w:p>
            <w:pPr>
              <w:spacing w:before="40" w:after="40"/>
              <w:jc w:val="left"/>
            </w:pPr>
            <w:r/>
            <w:r>
              <w:rPr>
                <w:rFonts w:ascii="Times New Roman" w:hAnsi="Times New Roman"/>
                <w:b w:val="0"/>
                <w:color w:val="000000"/>
                <w:sz w:val="20"/>
              </w:rPr>
              <w:t>Nygard (2018)</w:t>
            </w:r>
          </w:p>
        </w:tc>
      </w:tr>
      <w:tr>
        <w:tc>
          <w:tcPr>
            <w:tcW w:type="dxa" w:w="2880"/>
          </w:tcPr>
          <w:p>
            <w:pPr>
              <w:spacing w:before="40" w:after="40"/>
              <w:jc w:val="left"/>
            </w:pPr>
            <w:r/>
            <w:r>
              <w:rPr>
                <w:rFonts w:ascii="Times New Roman" w:hAnsi="Times New Roman"/>
                <w:b w:val="0"/>
                <w:color w:val="000000"/>
                <w:sz w:val="20"/>
              </w:rPr>
              <w:t>Eficiencia de desempeño</w:t>
            </w:r>
          </w:p>
        </w:tc>
        <w:tc>
          <w:tcPr>
            <w:tcW w:type="dxa" w:w="2592"/>
          </w:tcPr>
          <w:p>
            <w:pPr>
              <w:spacing w:before="40" w:after="40"/>
              <w:jc w:val="left"/>
            </w:pPr>
            <w:r/>
            <w:r>
              <w:rPr>
                <w:rFonts w:ascii="Times New Roman" w:hAnsi="Times New Roman"/>
                <w:b w:val="0"/>
                <w:color w:val="000000"/>
                <w:sz w:val="20"/>
              </w:rPr>
              <w:t>Disponibilidad (%)</w:t>
            </w:r>
          </w:p>
        </w:tc>
        <w:tc>
          <w:tcPr>
            <w:tcW w:type="dxa" w:w="2160"/>
          </w:tcPr>
          <w:p>
            <w:pPr>
              <w:spacing w:before="40" w:after="40"/>
              <w:jc w:val="left"/>
            </w:pPr>
            <w:r/>
            <w:r>
              <w:rPr>
                <w:rFonts w:ascii="Times New Roman" w:hAnsi="Times New Roman"/>
                <w:b w:val="0"/>
                <w:color w:val="000000"/>
                <w:sz w:val="20"/>
              </w:rPr>
              <w:t>≥ 99.5%</w:t>
            </w:r>
          </w:p>
        </w:tc>
        <w:tc>
          <w:tcPr>
            <w:tcW w:type="dxa" w:w="2160"/>
          </w:tcPr>
          <w:p>
            <w:pPr>
              <w:spacing w:before="40" w:after="40"/>
              <w:jc w:val="left"/>
            </w:pPr>
            <w:r/>
            <w:r>
              <w:rPr>
                <w:rFonts w:ascii="Times New Roman" w:hAnsi="Times New Roman"/>
                <w:b w:val="0"/>
                <w:color w:val="000000"/>
                <w:sz w:val="20"/>
              </w:rPr>
              <w:t>ISO/IEC 25023 (2016)</w:t>
            </w:r>
          </w:p>
        </w:tc>
      </w:tr>
      <w:tr>
        <w:tc>
          <w:tcPr>
            <w:tcW w:type="dxa" w:w="2880"/>
          </w:tcPr>
          <w:p>
            <w:pPr>
              <w:spacing w:before="40" w:after="40"/>
              <w:jc w:val="left"/>
            </w:pPr>
            <w:r/>
            <w:r>
              <w:rPr>
                <w:rFonts w:ascii="Times New Roman" w:hAnsi="Times New Roman"/>
                <w:b w:val="0"/>
                <w:color w:val="000000"/>
                <w:sz w:val="20"/>
              </w:rPr>
              <w:t>Usabilidad</w:t>
            </w:r>
          </w:p>
        </w:tc>
        <w:tc>
          <w:tcPr>
            <w:tcW w:type="dxa" w:w="2592"/>
          </w:tcPr>
          <w:p>
            <w:pPr>
              <w:spacing w:before="40" w:after="40"/>
              <w:jc w:val="left"/>
            </w:pPr>
            <w:r/>
            <w:r>
              <w:rPr>
                <w:rFonts w:ascii="Times New Roman" w:hAnsi="Times New Roman"/>
                <w:b w:val="0"/>
                <w:color w:val="000000"/>
                <w:sz w:val="20"/>
              </w:rPr>
              <w:t>Puntuación SUS (/100)</w:t>
            </w:r>
          </w:p>
        </w:tc>
        <w:tc>
          <w:tcPr>
            <w:tcW w:type="dxa" w:w="2160"/>
          </w:tcPr>
          <w:p>
            <w:pPr>
              <w:spacing w:before="40" w:after="40"/>
              <w:jc w:val="left"/>
            </w:pPr>
            <w:r/>
            <w:r>
              <w:rPr>
                <w:rFonts w:ascii="Times New Roman" w:hAnsi="Times New Roman"/>
                <w:b w:val="0"/>
                <w:color w:val="000000"/>
                <w:sz w:val="20"/>
              </w:rPr>
              <w:t>&gt; 70</w:t>
            </w:r>
          </w:p>
        </w:tc>
        <w:tc>
          <w:tcPr>
            <w:tcW w:type="dxa" w:w="2160"/>
          </w:tcPr>
          <w:p>
            <w:pPr>
              <w:spacing w:before="40" w:after="40"/>
              <w:jc w:val="left"/>
            </w:pPr>
            <w:r/>
            <w:r>
              <w:rPr>
                <w:rFonts w:ascii="Times New Roman" w:hAnsi="Times New Roman"/>
                <w:b w:val="0"/>
                <w:color w:val="000000"/>
                <w:sz w:val="20"/>
              </w:rPr>
              <w:t>Bangor et al. (2008)</w:t>
            </w:r>
          </w:p>
        </w:tc>
      </w:tr>
      <w:tr>
        <w:tc>
          <w:tcPr>
            <w:tcW w:type="dxa" w:w="2880"/>
          </w:tcPr>
          <w:p>
            <w:pPr>
              <w:spacing w:before="40" w:after="40"/>
              <w:jc w:val="left"/>
            </w:pPr>
            <w:r/>
            <w:r>
              <w:rPr>
                <w:rFonts w:ascii="Times New Roman" w:hAnsi="Times New Roman"/>
                <w:b w:val="0"/>
                <w:color w:val="000000"/>
                <w:sz w:val="20"/>
              </w:rPr>
              <w:t>Usabilidad</w:t>
            </w:r>
          </w:p>
        </w:tc>
        <w:tc>
          <w:tcPr>
            <w:tcW w:type="dxa" w:w="2592"/>
          </w:tcPr>
          <w:p>
            <w:pPr>
              <w:spacing w:before="40" w:after="40"/>
              <w:jc w:val="left"/>
            </w:pPr>
            <w:r/>
            <w:r>
              <w:rPr>
                <w:rFonts w:ascii="Times New Roman" w:hAnsi="Times New Roman"/>
                <w:b w:val="0"/>
                <w:color w:val="000000"/>
                <w:sz w:val="20"/>
              </w:rPr>
              <w:t>Tasa de tareas completadas (%)</w:t>
            </w:r>
          </w:p>
        </w:tc>
        <w:tc>
          <w:tcPr>
            <w:tcW w:type="dxa" w:w="2160"/>
          </w:tcPr>
          <w:p>
            <w:pPr>
              <w:spacing w:before="40" w:after="40"/>
              <w:jc w:val="left"/>
            </w:pPr>
            <w:r/>
            <w:r>
              <w:rPr>
                <w:rFonts w:ascii="Times New Roman" w:hAnsi="Times New Roman"/>
                <w:b w:val="0"/>
                <w:color w:val="000000"/>
                <w:sz w:val="20"/>
              </w:rPr>
              <w:t>≥ 80%</w:t>
            </w:r>
          </w:p>
        </w:tc>
        <w:tc>
          <w:tcPr>
            <w:tcW w:type="dxa" w:w="2160"/>
          </w:tcPr>
          <w:p>
            <w:pPr>
              <w:spacing w:before="40" w:after="40"/>
              <w:jc w:val="left"/>
            </w:pPr>
            <w:r/>
            <w:r>
              <w:rPr>
                <w:rFonts w:ascii="Times New Roman" w:hAnsi="Times New Roman"/>
                <w:b w:val="0"/>
                <w:color w:val="000000"/>
                <w:sz w:val="20"/>
              </w:rPr>
              <w:t>Nielsen (1994)</w:t>
            </w:r>
          </w:p>
        </w:tc>
      </w:tr>
      <w:tr>
        <w:tc>
          <w:tcPr>
            <w:tcW w:type="dxa" w:w="2880"/>
          </w:tcPr>
          <w:p>
            <w:pPr>
              <w:spacing w:before="40" w:after="40"/>
              <w:jc w:val="left"/>
            </w:pPr>
            <w:r/>
            <w:r>
              <w:rPr>
                <w:rFonts w:ascii="Times New Roman" w:hAnsi="Times New Roman"/>
                <w:b w:val="0"/>
                <w:color w:val="000000"/>
                <w:sz w:val="20"/>
              </w:rPr>
              <w:t>Confiabilidad</w:t>
            </w:r>
          </w:p>
        </w:tc>
        <w:tc>
          <w:tcPr>
            <w:tcW w:type="dxa" w:w="2592"/>
          </w:tcPr>
          <w:p>
            <w:pPr>
              <w:spacing w:before="40" w:after="40"/>
              <w:jc w:val="left"/>
            </w:pPr>
            <w:r/>
            <w:r>
              <w:rPr>
                <w:rFonts w:ascii="Times New Roman" w:hAnsi="Times New Roman"/>
                <w:b w:val="0"/>
                <w:color w:val="000000"/>
                <w:sz w:val="20"/>
              </w:rPr>
              <w:t>MTTR (h)</w:t>
            </w:r>
          </w:p>
        </w:tc>
        <w:tc>
          <w:tcPr>
            <w:tcW w:type="dxa" w:w="2160"/>
          </w:tcPr>
          <w:p>
            <w:pPr>
              <w:spacing w:before="40" w:after="40"/>
              <w:jc w:val="left"/>
            </w:pPr>
            <w:r/>
            <w:r>
              <w:rPr>
                <w:rFonts w:ascii="Times New Roman" w:hAnsi="Times New Roman"/>
                <w:b w:val="0"/>
                <w:color w:val="000000"/>
                <w:sz w:val="20"/>
              </w:rPr>
              <w:t>&lt; 1 h</w:t>
            </w:r>
          </w:p>
        </w:tc>
        <w:tc>
          <w:tcPr>
            <w:tcW w:type="dxa" w:w="2160"/>
          </w:tcPr>
          <w:p>
            <w:pPr>
              <w:spacing w:before="40" w:after="40"/>
              <w:jc w:val="left"/>
            </w:pPr>
            <w:r/>
            <w:r>
              <w:rPr>
                <w:rFonts w:ascii="Times New Roman" w:hAnsi="Times New Roman"/>
                <w:b w:val="0"/>
                <w:color w:val="000000"/>
                <w:sz w:val="20"/>
              </w:rPr>
              <w:t>ISO/IEC 25023 (2016)</w:t>
            </w:r>
          </w:p>
        </w:tc>
      </w:tr>
      <w:tr>
        <w:tc>
          <w:tcPr>
            <w:tcW w:type="dxa" w:w="2880"/>
          </w:tcPr>
          <w:p>
            <w:pPr>
              <w:spacing w:before="40" w:after="40"/>
              <w:jc w:val="left"/>
            </w:pPr>
            <w:r/>
            <w:r>
              <w:rPr>
                <w:rFonts w:ascii="Times New Roman" w:hAnsi="Times New Roman"/>
                <w:b w:val="0"/>
                <w:color w:val="000000"/>
                <w:sz w:val="20"/>
              </w:rPr>
              <w:t>Seguridad</w:t>
            </w:r>
          </w:p>
        </w:tc>
        <w:tc>
          <w:tcPr>
            <w:tcW w:type="dxa" w:w="2592"/>
          </w:tcPr>
          <w:p>
            <w:pPr>
              <w:spacing w:before="40" w:after="40"/>
              <w:jc w:val="left"/>
            </w:pPr>
            <w:r/>
            <w:r>
              <w:rPr>
                <w:rFonts w:ascii="Times New Roman" w:hAnsi="Times New Roman"/>
                <w:b w:val="0"/>
                <w:color w:val="000000"/>
                <w:sz w:val="20"/>
              </w:rPr>
              <w:t>Vulnerabilidades OWASP Top 10 críticas</w:t>
            </w:r>
          </w:p>
        </w:tc>
        <w:tc>
          <w:tcPr>
            <w:tcW w:type="dxa" w:w="2160"/>
          </w:tcPr>
          <w:p>
            <w:pPr>
              <w:spacing w:before="40" w:after="40"/>
              <w:jc w:val="left"/>
            </w:pPr>
            <w:r/>
            <w:r>
              <w:rPr>
                <w:rFonts w:ascii="Times New Roman" w:hAnsi="Times New Roman"/>
                <w:b w:val="0"/>
                <w:color w:val="000000"/>
                <w:sz w:val="20"/>
              </w:rPr>
              <w:t>0</w:t>
            </w:r>
          </w:p>
        </w:tc>
        <w:tc>
          <w:tcPr>
            <w:tcW w:type="dxa" w:w="2160"/>
          </w:tcPr>
          <w:p>
            <w:pPr>
              <w:spacing w:before="40" w:after="40"/>
              <w:jc w:val="left"/>
            </w:pPr>
            <w:r/>
            <w:r>
              <w:rPr>
                <w:rFonts w:ascii="Times New Roman" w:hAnsi="Times New Roman"/>
                <w:b w:val="0"/>
                <w:color w:val="000000"/>
                <w:sz w:val="20"/>
              </w:rPr>
              <w:t>OWASP (2021)</w:t>
            </w:r>
          </w:p>
        </w:tc>
      </w:tr>
      <w:tr>
        <w:tc>
          <w:tcPr>
            <w:tcW w:type="dxa" w:w="2880"/>
          </w:tcPr>
          <w:p>
            <w:pPr>
              <w:spacing w:before="40" w:after="40"/>
              <w:jc w:val="left"/>
            </w:pPr>
            <w:r/>
            <w:r>
              <w:rPr>
                <w:rFonts w:ascii="Times New Roman" w:hAnsi="Times New Roman"/>
                <w:b w:val="0"/>
                <w:color w:val="000000"/>
                <w:sz w:val="20"/>
              </w:rPr>
              <w:t>Mantenibilidad</w:t>
            </w:r>
          </w:p>
        </w:tc>
        <w:tc>
          <w:tcPr>
            <w:tcW w:type="dxa" w:w="2592"/>
          </w:tcPr>
          <w:p>
            <w:pPr>
              <w:spacing w:before="40" w:after="40"/>
              <w:jc w:val="left"/>
            </w:pPr>
            <w:r/>
            <w:r>
              <w:rPr>
                <w:rFonts w:ascii="Times New Roman" w:hAnsi="Times New Roman"/>
                <w:b w:val="0"/>
                <w:color w:val="000000"/>
                <w:sz w:val="20"/>
              </w:rPr>
              <w:t>Cobertura de código (%)</w:t>
            </w:r>
          </w:p>
        </w:tc>
        <w:tc>
          <w:tcPr>
            <w:tcW w:type="dxa" w:w="2160"/>
          </w:tcPr>
          <w:p>
            <w:pPr>
              <w:spacing w:before="40" w:after="40"/>
              <w:jc w:val="left"/>
            </w:pPr>
            <w:r/>
            <w:r>
              <w:rPr>
                <w:rFonts w:ascii="Times New Roman" w:hAnsi="Times New Roman"/>
                <w:b w:val="0"/>
                <w:color w:val="000000"/>
                <w:sz w:val="20"/>
              </w:rPr>
              <w:t>≥ 70%</w:t>
            </w:r>
          </w:p>
        </w:tc>
        <w:tc>
          <w:tcPr>
            <w:tcW w:type="dxa" w:w="2160"/>
          </w:tcPr>
          <w:p>
            <w:pPr>
              <w:spacing w:before="40" w:after="40"/>
              <w:jc w:val="left"/>
            </w:pPr>
            <w:r/>
            <w:r>
              <w:rPr>
                <w:rFonts w:ascii="Times New Roman" w:hAnsi="Times New Roman"/>
                <w:b w:val="0"/>
                <w:color w:val="000000"/>
                <w:sz w:val="20"/>
              </w:rPr>
              <w:t>Ammann &amp; Offutt (2016)</w:t>
            </w:r>
          </w:p>
        </w:tc>
      </w:tr>
      <w:tr>
        <w:tc>
          <w:tcPr>
            <w:tcW w:type="dxa" w:w="2880"/>
          </w:tcPr>
          <w:p>
            <w:pPr>
              <w:spacing w:before="40" w:after="40"/>
              <w:jc w:val="left"/>
            </w:pPr>
            <w:r/>
            <w:r>
              <w:rPr>
                <w:rFonts w:ascii="Times New Roman" w:hAnsi="Times New Roman"/>
                <w:b w:val="0"/>
                <w:color w:val="000000"/>
                <w:sz w:val="20"/>
              </w:rPr>
              <w:t>Portabilidad</w:t>
            </w:r>
          </w:p>
        </w:tc>
        <w:tc>
          <w:tcPr>
            <w:tcW w:type="dxa" w:w="2592"/>
          </w:tcPr>
          <w:p>
            <w:pPr>
              <w:spacing w:before="40" w:after="40"/>
              <w:jc w:val="left"/>
            </w:pPr>
            <w:r/>
            <w:r>
              <w:rPr>
                <w:rFonts w:ascii="Times New Roman" w:hAnsi="Times New Roman"/>
                <w:b w:val="0"/>
                <w:color w:val="000000"/>
                <w:sz w:val="20"/>
              </w:rPr>
              <w:t>Navegadores soportados (#)</w:t>
            </w:r>
          </w:p>
        </w:tc>
        <w:tc>
          <w:tcPr>
            <w:tcW w:type="dxa" w:w="2160"/>
          </w:tcPr>
          <w:p>
            <w:pPr>
              <w:spacing w:before="40" w:after="40"/>
              <w:jc w:val="left"/>
            </w:pPr>
            <w:r/>
            <w:r>
              <w:rPr>
                <w:rFonts w:ascii="Times New Roman" w:hAnsi="Times New Roman"/>
                <w:b w:val="0"/>
                <w:color w:val="000000"/>
                <w:sz w:val="20"/>
              </w:rPr>
              <w:t>≥ 4</w:t>
            </w:r>
          </w:p>
        </w:tc>
        <w:tc>
          <w:tcPr>
            <w:tcW w:type="dxa" w:w="2160"/>
          </w:tcPr>
          <w:p>
            <w:pPr>
              <w:spacing w:before="40" w:after="40"/>
              <w:jc w:val="left"/>
            </w:pPr>
            <w:r/>
            <w:r>
              <w:rPr>
                <w:rFonts w:ascii="Times New Roman" w:hAnsi="Times New Roman"/>
                <w:b w:val="0"/>
                <w:color w:val="000000"/>
                <w:sz w:val="20"/>
              </w:rPr>
              <w:t>W3C (2023)</w:t>
            </w:r>
          </w:p>
        </w:tc>
      </w:tr>
    </w:tbl>
    <w:p>
      <w:pPr>
        <w:spacing w:line="480" w:lineRule="auto" w:before="0" w:after="0"/>
      </w:pPr>
      <w:r>
        <w:rPr>
          <w:rFonts w:ascii="Times New Roman" w:hAnsi="Times New Roman"/>
          <w:b w:val="0"/>
          <w:i/>
          <w:color w:val="000000"/>
          <w:sz w:val="24"/>
        </w:rPr>
        <w:t xml:space="preserve">Nota. </w:t>
      </w:r>
      <w:r>
        <w:rPr>
          <w:rFonts w:ascii="Times New Roman" w:hAnsi="Times New Roman"/>
          <w:b w:val="0"/>
          <w:i w:val="0"/>
          <w:color w:val="000000"/>
          <w:sz w:val="24"/>
        </w:rPr>
        <w:t>Los umbrales se definieron a partir de los estándares ISO/IEC 25010:2023 e ISO/IEC 25023:2016, complementados con valores de referencia de la literatura especializada.</w:t>
      </w:r>
    </w:p>
    <w:p>
      <w:pPr>
        <w:spacing w:line="480" w:lineRule="auto" w:before="0" w:after="0"/>
        <w:jc w:val="center"/>
      </w:pPr>
      <w:r>
        <w:rPr>
          <w:rFonts w:ascii="Times New Roman" w:hAnsi="Times New Roman"/>
          <w:b/>
          <w:i w:val="0"/>
          <w:color w:val="000000"/>
          <w:sz w:val="24"/>
        </w:rPr>
        <w:t>6. Responsabilidades</w:t>
      </w:r>
    </w:p>
    <w:p>
      <w:pPr>
        <w:spacing w:line="480" w:lineRule="auto" w:before="0" w:after="0"/>
        <w:jc w:val="left"/>
      </w:pP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0D0D0"/>
          </w:tcPr>
          <w:p>
            <w:pPr>
              <w:spacing w:before="40" w:after="40"/>
              <w:jc w:val="left"/>
            </w:pPr>
            <w:r/>
            <w:r>
              <w:rPr>
                <w:rFonts w:ascii="Times New Roman" w:hAnsi="Times New Roman"/>
                <w:b/>
                <w:color w:val="000000"/>
                <w:sz w:val="20"/>
              </w:rPr>
              <w:t>Rol</w:t>
            </w:r>
          </w:p>
        </w:tc>
        <w:tc>
          <w:tcPr>
            <w:tcW w:type="dxa" w:w="7200"/>
            <w:shd w:val="clear" w:color="auto" w:fill="D0D0D0"/>
          </w:tcPr>
          <w:p>
            <w:pPr>
              <w:spacing w:before="40" w:after="40"/>
              <w:jc w:val="left"/>
            </w:pPr>
            <w:r/>
            <w:r>
              <w:rPr>
                <w:rFonts w:ascii="Times New Roman" w:hAnsi="Times New Roman"/>
                <w:b/>
                <w:color w:val="000000"/>
                <w:sz w:val="20"/>
              </w:rPr>
              <w:t>Responsabilidad Principal</w:t>
            </w:r>
          </w:p>
        </w:tc>
      </w:tr>
      <w:tr>
        <w:tc>
          <w:tcPr>
            <w:tcW w:type="dxa" w:w="2592"/>
          </w:tcPr>
          <w:p>
            <w:pPr>
              <w:spacing w:before="40" w:after="40"/>
              <w:jc w:val="left"/>
            </w:pPr>
            <w:r/>
            <w:r>
              <w:rPr>
                <w:rFonts w:ascii="Times New Roman" w:hAnsi="Times New Roman"/>
                <w:b w:val="0"/>
                <w:color w:val="000000"/>
                <w:sz w:val="20"/>
              </w:rPr>
              <w:t>QA Engineer</w:t>
            </w:r>
          </w:p>
        </w:tc>
        <w:tc>
          <w:tcPr>
            <w:tcW w:type="dxa" w:w="7200"/>
          </w:tcPr>
          <w:p>
            <w:pPr>
              <w:spacing w:before="40" w:after="40"/>
              <w:jc w:val="left"/>
            </w:pPr>
            <w:r/>
            <w:r>
              <w:rPr>
                <w:rFonts w:ascii="Times New Roman" w:hAnsi="Times New Roman"/>
                <w:b w:val="0"/>
                <w:color w:val="000000"/>
                <w:sz w:val="20"/>
              </w:rPr>
              <w:t>Ejecutar casos de prueba, registrar defectos, generar informes de resultados</w:t>
            </w:r>
          </w:p>
        </w:tc>
      </w:tr>
      <w:tr>
        <w:tc>
          <w:tcPr>
            <w:tcW w:type="dxa" w:w="2592"/>
          </w:tcPr>
          <w:p>
            <w:pPr>
              <w:spacing w:before="40" w:after="40"/>
              <w:jc w:val="left"/>
            </w:pPr>
            <w:r/>
            <w:r>
              <w:rPr>
                <w:rFonts w:ascii="Times New Roman" w:hAnsi="Times New Roman"/>
                <w:b w:val="0"/>
                <w:color w:val="000000"/>
                <w:sz w:val="20"/>
              </w:rPr>
              <w:t>Arquitecto de Software</w:t>
            </w:r>
          </w:p>
        </w:tc>
        <w:tc>
          <w:tcPr>
            <w:tcW w:type="dxa" w:w="7200"/>
          </w:tcPr>
          <w:p>
            <w:pPr>
              <w:spacing w:before="40" w:after="40"/>
              <w:jc w:val="left"/>
            </w:pPr>
            <w:r/>
            <w:r>
              <w:rPr>
                <w:rFonts w:ascii="Times New Roman" w:hAnsi="Times New Roman"/>
                <w:b w:val="0"/>
                <w:color w:val="000000"/>
                <w:sz w:val="20"/>
              </w:rPr>
              <w:t>Validar conformidad técnica con requisitos no funcionales</w:t>
            </w:r>
          </w:p>
        </w:tc>
      </w:tr>
      <w:tr>
        <w:tc>
          <w:tcPr>
            <w:tcW w:type="dxa" w:w="2592"/>
          </w:tcPr>
          <w:p>
            <w:pPr>
              <w:spacing w:before="40" w:after="40"/>
              <w:jc w:val="left"/>
            </w:pPr>
            <w:r/>
            <w:r>
              <w:rPr>
                <w:rFonts w:ascii="Times New Roman" w:hAnsi="Times New Roman"/>
                <w:b w:val="0"/>
                <w:color w:val="000000"/>
                <w:sz w:val="20"/>
              </w:rPr>
              <w:t>Product Owner</w:t>
            </w:r>
          </w:p>
        </w:tc>
        <w:tc>
          <w:tcPr>
            <w:tcW w:type="dxa" w:w="7200"/>
          </w:tcPr>
          <w:p>
            <w:pPr>
              <w:spacing w:before="40" w:after="40"/>
              <w:jc w:val="left"/>
            </w:pPr>
            <w:r/>
            <w:r>
              <w:rPr>
                <w:rFonts w:ascii="Times New Roman" w:hAnsi="Times New Roman"/>
                <w:b w:val="0"/>
                <w:color w:val="000000"/>
                <w:sz w:val="20"/>
              </w:rPr>
              <w:t>Aprobar criterios de aceptación y firmar el informe de validación</w:t>
            </w:r>
          </w:p>
        </w:tc>
      </w:tr>
      <w:tr>
        <w:tc>
          <w:tcPr>
            <w:tcW w:type="dxa" w:w="2592"/>
          </w:tcPr>
          <w:p>
            <w:pPr>
              <w:spacing w:before="40" w:after="40"/>
              <w:jc w:val="left"/>
            </w:pPr>
            <w:r/>
            <w:r>
              <w:rPr>
                <w:rFonts w:ascii="Times New Roman" w:hAnsi="Times New Roman"/>
                <w:b w:val="0"/>
                <w:color w:val="000000"/>
                <w:sz w:val="20"/>
              </w:rPr>
              <w:t>Usuarios Finales (UAT)</w:t>
            </w:r>
          </w:p>
        </w:tc>
        <w:tc>
          <w:tcPr>
            <w:tcW w:type="dxa" w:w="7200"/>
          </w:tcPr>
          <w:p>
            <w:pPr>
              <w:spacing w:before="40" w:after="40"/>
              <w:jc w:val="left"/>
            </w:pPr>
            <w:r/>
            <w:r>
              <w:rPr>
                <w:rFonts w:ascii="Times New Roman" w:hAnsi="Times New Roman"/>
                <w:b w:val="0"/>
                <w:color w:val="000000"/>
                <w:sz w:val="20"/>
              </w:rPr>
              <w:t>Evaluar usabilidad y completar encuesta SUS</w:t>
            </w:r>
          </w:p>
        </w:tc>
      </w:tr>
    </w:tbl>
    <w:p>
      <w:r>
        <w:br w:type="page"/>
      </w:r>
    </w:p>
    <w:p>
      <w:pPr>
        <w:spacing w:line="480" w:lineRule="auto" w:before="0" w:after="0"/>
        <w:jc w:val="center"/>
      </w:pPr>
      <w:r>
        <w:rPr>
          <w:rFonts w:ascii="Times New Roman" w:hAnsi="Times New Roman"/>
          <w:b/>
          <w:i w:val="0"/>
          <w:color w:val="000000"/>
          <w:sz w:val="24"/>
        </w:rPr>
        <w:t>Referencias</w:t>
      </w:r>
    </w:p>
    <w:p>
      <w:pPr>
        <w:spacing w:line="480" w:lineRule="auto" w:before="0" w:after="0"/>
        <w:ind w:left="720" w:hanging="720"/>
      </w:pPr>
      <w:r>
        <w:rPr>
          <w:rFonts w:ascii="Times New Roman" w:hAnsi="Times New Roman"/>
          <w:b w:val="0"/>
          <w:i w:val="0"/>
          <w:color w:val="000000"/>
          <w:sz w:val="24"/>
        </w:rPr>
        <w:t>Ammann, P., &amp; Offutt, J. (2016). Introduction to software testing (2.ª ed.). Cambridge University Press. https://doi.org/10.1017/9781316771273</w:t>
      </w:r>
    </w:p>
    <w:p>
      <w:pPr>
        <w:spacing w:line="480" w:lineRule="auto" w:before="0" w:after="0"/>
        <w:ind w:left="720" w:hanging="720"/>
      </w:pPr>
      <w:r>
        <w:rPr>
          <w:rFonts w:ascii="Times New Roman" w:hAnsi="Times New Roman"/>
          <w:b w:val="0"/>
          <w:i w:val="0"/>
          <w:color w:val="000000"/>
          <w:sz w:val="24"/>
        </w:rPr>
        <w:t>Bangor, A., Kortum, P. T., &amp; Miller, J. T. (2008). An empirical evaluation of the System Usability Scale. International Journal of Human-Computer Interaction, 24(6), 574–594. https://doi.org/10.1080/10447310802205776</w:t>
      </w:r>
    </w:p>
    <w:p>
      <w:pPr>
        <w:spacing w:line="480" w:lineRule="auto" w:before="0" w:after="0"/>
        <w:ind w:left="720" w:hanging="720"/>
      </w:pPr>
      <w:r>
        <w:rPr>
          <w:rFonts w:ascii="Times New Roman" w:hAnsi="Times New Roman"/>
          <w:b w:val="0"/>
          <w:i w:val="0"/>
          <w:color w:val="000000"/>
          <w:sz w:val="24"/>
        </w:rPr>
        <w:t>Brooke, J. (1996). SUS: A "quick and dirty" usability scale. En P. W. Jordan, B. Thomas, B. A. Weerdmeester &amp; I. L. McClelland (Eds.), Usability evaluation in industry (pp. 189–194). Taylor &amp; Francis.</w:t>
      </w:r>
    </w:p>
    <w:p>
      <w:pPr>
        <w:spacing w:line="480" w:lineRule="auto" w:before="0" w:after="0"/>
        <w:ind w:left="720" w:hanging="720"/>
      </w:pPr>
      <w:r>
        <w:rPr>
          <w:rFonts w:ascii="Times New Roman" w:hAnsi="Times New Roman"/>
          <w:b w:val="0"/>
          <w:i w:val="0"/>
          <w:color w:val="000000"/>
          <w:sz w:val="24"/>
        </w:rPr>
        <w:t>Buterin, V. (2014). A next-generation smart contract and decentralized application platform. Ethereum White Paper. https://ethereum.org/en/whitepaper/</w:t>
      </w:r>
    </w:p>
    <w:p>
      <w:pPr>
        <w:spacing w:line="480" w:lineRule="auto" w:before="0" w:after="0"/>
        <w:ind w:left="720" w:hanging="720"/>
      </w:pPr>
      <w:r>
        <w:rPr>
          <w:rFonts w:ascii="Times New Roman" w:hAnsi="Times New Roman"/>
          <w:b w:val="0"/>
          <w:i w:val="0"/>
          <w:color w:val="000000"/>
          <w:sz w:val="24"/>
        </w:rPr>
        <w:t>Creswell, J. W., &amp; Creswell, J. D. (2018). Research design: Qualitative, quantitative, and mixed methods approaches (5.ª ed.). SAGE Publications.</w:t>
      </w:r>
    </w:p>
    <w:p>
      <w:pPr>
        <w:spacing w:line="480" w:lineRule="auto" w:before="0" w:after="0"/>
        <w:ind w:left="720" w:hanging="720"/>
      </w:pPr>
      <w:r>
        <w:rPr>
          <w:rFonts w:ascii="Times New Roman" w:hAnsi="Times New Roman"/>
          <w:b w:val="0"/>
          <w:i w:val="0"/>
          <w:color w:val="000000"/>
          <w:sz w:val="24"/>
        </w:rPr>
        <w:t>Hyperledger Foundation. (2023). Hyperledger Fabric documentation (v2.5). Linux Foundation. https://hyperledger-fabric.readthedocs.io/</w:t>
      </w:r>
    </w:p>
    <w:p>
      <w:pPr>
        <w:spacing w:line="480" w:lineRule="auto" w:before="0" w:after="0"/>
        <w:ind w:left="720" w:hanging="720"/>
      </w:pPr>
      <w:r>
        <w:rPr>
          <w:rFonts w:ascii="Times New Roman" w:hAnsi="Times New Roman"/>
          <w:b w:val="0"/>
          <w:i w:val="0"/>
          <w:color w:val="000000"/>
          <w:sz w:val="24"/>
        </w:rPr>
        <w:t>IEEE. (2008). IEEE 829-2008: Standard for software and system test documentation. Institute of Electrical and Electronics Engineers. https://doi.org/10.1109/IEEESTD.2008.4578383</w:t>
      </w:r>
    </w:p>
    <w:p>
      <w:pPr>
        <w:spacing w:line="480" w:lineRule="auto" w:before="0" w:after="0"/>
        <w:ind w:left="720" w:hanging="720"/>
      </w:pPr>
      <w:r>
        <w:rPr>
          <w:rFonts w:ascii="Times New Roman" w:hAnsi="Times New Roman"/>
          <w:b w:val="0"/>
          <w:i w:val="0"/>
          <w:color w:val="000000"/>
          <w:sz w:val="24"/>
        </w:rPr>
        <w:t>ISO/IEC. (2016). ISO/IEC 25023:2016 — Systems and software engineering — Systems and software Quality Requirements and Evaluation (SQuaRE) — Measurement of system and software product quality. International Organization for Standardization.</w:t>
      </w:r>
    </w:p>
    <w:p>
      <w:pPr>
        <w:spacing w:line="480" w:lineRule="auto" w:before="0" w:after="0"/>
        <w:ind w:left="720" w:hanging="720"/>
      </w:pPr>
      <w:r>
        <w:rPr>
          <w:rFonts w:ascii="Times New Roman" w:hAnsi="Times New Roman"/>
          <w:b w:val="0"/>
          <w:i w:val="0"/>
          <w:color w:val="000000"/>
          <w:sz w:val="24"/>
        </w:rPr>
        <w:t>ISO/IEC. (2023). ISO/IEC 25010:2023 — Systems and software engineering — Systems and software Quality Requirements and Evaluation (SQuaRE) — Product quality model. International Organization for Standardization.</w:t>
      </w:r>
    </w:p>
    <w:p>
      <w:pPr>
        <w:spacing w:line="480" w:lineRule="auto" w:before="0" w:after="0"/>
        <w:ind w:left="720" w:hanging="720"/>
      </w:pPr>
      <w:r>
        <w:rPr>
          <w:rFonts w:ascii="Times New Roman" w:hAnsi="Times New Roman"/>
          <w:b w:val="0"/>
          <w:i w:val="0"/>
          <w:color w:val="000000"/>
          <w:sz w:val="24"/>
        </w:rPr>
        <w:t>Nielsen, J. (1994). Usability engineering. Morgan Kaufmann.</w:t>
      </w:r>
    </w:p>
    <w:p>
      <w:pPr>
        <w:spacing w:line="480" w:lineRule="auto" w:before="0" w:after="0"/>
        <w:ind w:left="720" w:hanging="720"/>
      </w:pPr>
      <w:r>
        <w:rPr>
          <w:rFonts w:ascii="Times New Roman" w:hAnsi="Times New Roman"/>
          <w:b w:val="0"/>
          <w:i w:val="0"/>
          <w:color w:val="000000"/>
          <w:sz w:val="24"/>
        </w:rPr>
        <w:t>Nygard, M. T. (2018). Release it! Design and deploy production-ready software (2.ª ed.). Pragmatic Bookshelf.</w:t>
      </w:r>
    </w:p>
    <w:p>
      <w:pPr>
        <w:spacing w:line="480" w:lineRule="auto" w:before="0" w:after="0"/>
        <w:ind w:left="720" w:hanging="720"/>
      </w:pPr>
      <w:r>
        <w:rPr>
          <w:rFonts w:ascii="Times New Roman" w:hAnsi="Times New Roman"/>
          <w:b w:val="0"/>
          <w:i w:val="0"/>
          <w:color w:val="000000"/>
          <w:sz w:val="24"/>
        </w:rPr>
        <w:t>OWASP. (2021). OWASP Top 10:2021 — Top ten web application security risks. Open Web Application Security Project. https://owasp.org/Top10/</w:t>
      </w:r>
    </w:p>
    <w:p>
      <w:pPr>
        <w:spacing w:line="480" w:lineRule="auto" w:before="0" w:after="0"/>
        <w:ind w:left="720" w:hanging="720"/>
      </w:pPr>
      <w:r>
        <w:rPr>
          <w:rFonts w:ascii="Times New Roman" w:hAnsi="Times New Roman"/>
          <w:b w:val="0"/>
          <w:i w:val="0"/>
          <w:color w:val="000000"/>
          <w:sz w:val="24"/>
        </w:rPr>
        <w:t>Pressman, R. S., &amp; Maxim, B. R. (2015). Software engineering: A practitioner's approach (8.ª ed.). McGraw-Hill Education.</w:t>
      </w:r>
    </w:p>
    <w:p>
      <w:pPr>
        <w:spacing w:line="480" w:lineRule="auto" w:before="0" w:after="0"/>
        <w:ind w:left="720" w:hanging="720"/>
      </w:pPr>
      <w:r>
        <w:rPr>
          <w:rFonts w:ascii="Times New Roman" w:hAnsi="Times New Roman"/>
          <w:b w:val="0"/>
          <w:i w:val="0"/>
          <w:color w:val="000000"/>
          <w:sz w:val="24"/>
        </w:rPr>
        <w:t>W3C. (2023). Web Content Accessibility Guidelines (WCAG) 2.1. World Wide Web Consortium. https://www.w3.org/TR/WCAG21/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val="0"/>
        <w:i w:val="0"/>
        <w:color w:val="000000"/>
        <w:sz w:val="24"/>
      </w:rPr>
      <w:t>SILADOCS: VALIDACIÓN DE PRODUCTO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