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</w:p>
    <w:p>
      <w:pPr>
        <w:spacing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Instrumentos de Validación y Métricas de Calidad de Software</w:t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Basado en ISO/IEC 25010:2023 e ISO/IEC 25023:2016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Universidad / Institución Educativa</w:t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Equipo de Desarrollo SilaDocs</w:t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Junio 2026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Resumen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presente documento especifica los instrumentos de validación y métricas de calidad aplicados a SilaDocs, sistema SaaS de gestión de sílabos con blockchain. Las métricas se derivan del modelo de calidad del producto ISO/IEC 25010:2023 y de los indicadores cuantificables definidos en ISO/IEC 25023:2016. Para cada una de las siete características de calidad evaluadas —adecuación funcional, eficiencia de desempeño, usabilidad, confiabilidad, mantenibilidad, portabilidad y seguridad— se definen: la sub-característica específica, la fórmula o procedimiento de medición, la meta numérica y el instrumento de recolección. Las fuentes métricas se complementan con estándares industriales y literatura académica para garantizar validez externa.</w:t>
      </w:r>
    </w:p>
    <w:p>
      <w:pPr>
        <w:spacing w:line="480" w:lineRule="auto" w:before="0" w:after="0"/>
        <w:jc w:val="left"/>
      </w:pPr>
    </w:p>
    <w:p>
      <w:pPr>
        <w:spacing w:line="480" w:lineRule="auto"/>
        <w:ind w:firstLine="720"/>
      </w:pPr>
      <w:r>
        <w:rPr>
          <w:rFonts w:ascii="Times New Roman" w:hAnsi="Times New Roman"/>
          <w:b w:val="0"/>
          <w:i/>
          <w:color w:val="000000"/>
          <w:sz w:val="24"/>
        </w:rPr>
        <w:t xml:space="preserve">Palabras clave: </w:t>
      </w:r>
      <w:r>
        <w:rPr>
          <w:rFonts w:ascii="Times New Roman" w:hAnsi="Times New Roman"/>
          <w:b w:val="0"/>
          <w:i w:val="0"/>
          <w:color w:val="000000"/>
          <w:sz w:val="24"/>
        </w:rPr>
        <w:t>ISO/IEC 25010, ISO/IEC 25023, métricas de calidad, SUS, OWASP, blockchain, SaaS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1. Fundamentos Metodológicos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selección de métricas se sustenta en el marco SQuaRE (Systems and software Quality Requirements and Evaluation), compuesto por ISO/IEC 25010:2023 para el modelo de calidad y ISO/IEC 25023:2016 para la medición (ISO/IEC, 2023; ISO/IEC, 2016). Este enfoque garantiza la comparabilidad de resultados y facilita auditorías externas. Complementariamente, se utilizan: la escala SUS para usabilidad (Brooke, 1996; Bangor et al., 2008), las heurísticas de Nielsen (1994) para inspección experta, OWASP Top 10:2021 para seguridad (OWASP, 2021) y los lineamientos de WCAG 2.1 Nivel AA para accesibilidad (W3C, 2023).</w:t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2. Métricas por Característica de Calidad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2.1 Adecuación Funcional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adecuación funcional evalúa el grado en que el producto provee funciones que satisfacen las necesidades establecidas cuando se usa bajo condiciones especificadas (ISO/IEC, 2023). La Tabla 1 detalla las métricas aplicadas.</w:t>
      </w:r>
    </w:p>
    <w:p>
      <w:pPr>
        <w:spacing w:line="480" w:lineRule="auto" w:before="0" w:after="0"/>
        <w:jc w:val="left"/>
      </w:pP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1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Métricas de Adecuación Funcional (ISO/IEC 25010:2023, § 4.1)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Sub-característica</w:t>
            </w:r>
          </w:p>
        </w:tc>
        <w:tc>
          <w:tcPr>
            <w:tcW w:type="dxa" w:w="316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Fórmula / Indicador</w:t>
            </w:r>
          </w:p>
        </w:tc>
        <w:tc>
          <w:tcPr>
            <w:tcW w:type="dxa" w:w="144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244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Instrumento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Completitud funcional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Casos pasados / Total casos × 100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≥ 98%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Playwright + IEEE 829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Corrección funcional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Nº de defectos funcionales críticos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= 0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Registro de defectos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Pertinencia funcional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Funciones implementadas / Requeridas × 100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Matriz de trazabilidad</w:t>
            </w:r>
          </w:p>
        </w:tc>
      </w:tr>
    </w:tbl>
    <w:p>
      <w:pPr>
        <w:spacing w:line="480" w:lineRule="auto"/>
      </w:pPr>
      <w:r>
        <w:rPr>
          <w:rFonts w:ascii="Times New Roman" w:hAnsi="Times New Roman"/>
          <w:b w:val="0"/>
          <w:i/>
          <w:color w:val="000000"/>
          <w:sz w:val="24"/>
        </w:rPr>
        <w:t xml:space="preserve">Nota. </w:t>
      </w:r>
      <w:r>
        <w:rPr>
          <w:rFonts w:ascii="Times New Roman" w:hAnsi="Times New Roman"/>
          <w:b w:val="0"/>
          <w:i w:val="0"/>
          <w:color w:val="000000"/>
          <w:sz w:val="24"/>
        </w:rPr>
        <w:t>La completitud funcional se evalúa sobre 40 casos de prueba documentados conforme a IEEE 829-2008 (IEEE, 2008).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2.2 Eficiencia de Desempeño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eficiencia de desempeño comprende el comportamiento temporal, la utilización de recursos y la capacidad del sistema bajo condiciones de carga (ISO/IEC, 2023). Nygard (2018) establece que un tiempo de respuesta p95 &lt; 2 s es el umbral crítico para la percepción de inmediatez en aplicaciones web.</w:t>
      </w:r>
    </w:p>
    <w:p>
      <w:pPr>
        <w:spacing w:line="480" w:lineRule="auto" w:before="0" w:after="0"/>
        <w:jc w:val="left"/>
      </w:pP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2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Métricas de Eficiencia de Desempeño (ISO/IEC 25010:2023, § 4.2)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Sub-característica</w:t>
            </w:r>
          </w:p>
        </w:tc>
        <w:tc>
          <w:tcPr>
            <w:tcW w:type="dxa" w:w="316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Fórmula / Indicador</w:t>
            </w:r>
          </w:p>
        </w:tc>
        <w:tc>
          <w:tcPr>
            <w:tcW w:type="dxa" w:w="144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244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Instrumento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Comportamiento temporal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Latencia p95 (ms) bajo 500 usuarios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 2,000 ms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Apache JMeter 5.6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Utilización de recursos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Consumo RAM (MB) por sesión activa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 500 MB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Azure Monitor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Capacidad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Usuarios concurrentes sin degradación crítica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≥ 500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Apache JMeter 5.6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Throughput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Solicitudes atendidas por segundo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≥ 100 req/s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Apache JMeter 5.6</w:t>
            </w:r>
          </w:p>
        </w:tc>
      </w:tr>
    </w:tbl>
    <w:p>
      <w:pPr>
        <w:spacing w:line="480" w:lineRule="auto"/>
      </w:pPr>
      <w:r>
        <w:rPr>
          <w:rFonts w:ascii="Times New Roman" w:hAnsi="Times New Roman"/>
          <w:b w:val="0"/>
          <w:i/>
          <w:color w:val="000000"/>
          <w:sz w:val="24"/>
        </w:rPr>
        <w:t xml:space="preserve">Nota. </w:t>
      </w:r>
      <w:r>
        <w:rPr>
          <w:rFonts w:ascii="Times New Roman" w:hAnsi="Times New Roman"/>
          <w:b w:val="0"/>
          <w:i w:val="0"/>
          <w:color w:val="000000"/>
          <w:sz w:val="24"/>
        </w:rPr>
        <w:t>El umbral de latencia p95 &lt; 2,000 ms se fundamenta en la investigación de Nielsen (1994), quien establece que respuestas superiores a 2 s interrumpen el flujo cognitivo del usuario.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2.3 Usabilidad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usabilidad se evalúa mediante la encuesta SUS de 10 ítems (Brooke, 1996), cuya validez y confiabilidad han sido establecidas en estudios con más de 2,300 participantes (Bangor et al., 2008). Complementariamente, se aplicaron las 10 heurísticas de Nielsen (1994) mediante inspección experta. La Tabla 3 presenta las métricas.</w:t>
      </w:r>
    </w:p>
    <w:p>
      <w:pPr>
        <w:spacing w:line="480" w:lineRule="auto" w:before="0" w:after="0"/>
        <w:jc w:val="left"/>
      </w:pP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3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Métricas de Usabilidad (ISO/IEC 25010:2023, § 4.4; Brooke, 1996)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Sub-característica</w:t>
            </w:r>
          </w:p>
        </w:tc>
        <w:tc>
          <w:tcPr>
            <w:tcW w:type="dxa" w:w="316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Fórmula / Indicador</w:t>
            </w:r>
          </w:p>
        </w:tc>
        <w:tc>
          <w:tcPr>
            <w:tcW w:type="dxa" w:w="144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244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Instrumento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Reconocibilidad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% usuarios que identifican función sin ayuda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≥ 80%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Test de usabilidad (n=15)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Aprendibilidad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Tiempo promedio en completar 1.ª tarea (min)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 10 min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Observación + cronómetro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Operabilidad (SUS)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Puntaje SUS promedio (0–100)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&gt; 70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Encuesta SUS (Brooke, 1996)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Protección al usuario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Acciones reversibles sin pérdida de datos (%)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Casos de prueba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Accesibilidad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Criterios WCAG 2.1 AA cumplidos (%)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≥ 95%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axe-core + revisión manual</w:t>
            </w:r>
          </w:p>
        </w:tc>
      </w:tr>
    </w:tbl>
    <w:p>
      <w:pPr>
        <w:spacing w:line="480" w:lineRule="auto"/>
      </w:pPr>
      <w:r>
        <w:rPr>
          <w:rFonts w:ascii="Times New Roman" w:hAnsi="Times New Roman"/>
          <w:b w:val="0"/>
          <w:i/>
          <w:color w:val="000000"/>
          <w:sz w:val="24"/>
        </w:rPr>
        <w:t xml:space="preserve">Nota. </w:t>
      </w:r>
      <w:r>
        <w:rPr>
          <w:rFonts w:ascii="Times New Roman" w:hAnsi="Times New Roman"/>
          <w:b w:val="0"/>
          <w:i w:val="0"/>
          <w:color w:val="000000"/>
          <w:sz w:val="24"/>
        </w:rPr>
        <w:t>Bangor et al. (2008) establecen la siguiente escala adjuntiva SUS: &lt; 51 = inaceptable; 51–70 = marginal; 71–85 = buena; 86–100 = excelente. El umbral mínimo aceptable para SilaDocs es 70.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2.4 Confiabilidad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confiabilidad se mide mediante métricas de disponibilidad, tolerancia a fallos y recuperabilidad, siguiendo los indicadores de ISO/IEC 25023:2016 (ISO/IEC, 2016). Un uptime ≥ 99.5% equivale a una indisponibilidad máxima de 43.8 horas al año.</w:t>
      </w:r>
    </w:p>
    <w:p>
      <w:pPr>
        <w:spacing w:line="480" w:lineRule="auto" w:before="0" w:after="0"/>
        <w:jc w:val="left"/>
      </w:pP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4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Métricas de Confiabilidad (ISO/IEC 25010:2023, § 4.5; ISO/IEC 25023:2016)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Sub-característica</w:t>
            </w:r>
          </w:p>
        </w:tc>
        <w:tc>
          <w:tcPr>
            <w:tcW w:type="dxa" w:w="316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Fórmula / Indicador</w:t>
            </w:r>
          </w:p>
        </w:tc>
        <w:tc>
          <w:tcPr>
            <w:tcW w:type="dxa" w:w="144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244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Instrumento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Disponibilidad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Uptime (%) en 30 días continuos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≥ 99.5%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Azure Monitor / Uptime Robot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Tolerancia a fallos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Tiempo de recuperación ante error (min)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 5 min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Chaos testing (Gremlin)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Recuperabilidad (MTTR)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Mean Time To Repair (h)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 1 h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Registro de incidentes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Madurez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Tasa de fallos en producción (# / mes)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 2 fallos/mes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Logs de producción</w:t>
            </w:r>
          </w:p>
        </w:tc>
      </w:tr>
    </w:tbl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2.5 Seguridad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seguridad se evalúa conforme a OWASP Top 10:2021, el marco de referencia más adoptado para la identificación de vulnerabilidades en aplicaciones web (OWASP, 2021). Adicionalmente, la integración con blockchain Hyperledger Fabric provee no-repudio e integridad documental mediante firmas digitales y hashing SHA-256 (Hyperledger Foundation, 2023).</w:t>
      </w:r>
    </w:p>
    <w:p>
      <w:pPr>
        <w:spacing w:line="480" w:lineRule="auto" w:before="0" w:after="0"/>
        <w:jc w:val="left"/>
      </w:pP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5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Métricas de Seguridad (ISO/IEC 25010:2023, § 4.6; OWASP, 2021)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Aspecto</w:t>
            </w:r>
          </w:p>
        </w:tc>
        <w:tc>
          <w:tcPr>
            <w:tcW w:type="dxa" w:w="316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144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244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Instrumento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Confidencialidad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Datos transmitidos bajo TLS 1.3 (%)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SSL Labs / Qualys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Integridad documental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Documentos con hash SHA-256 verificado (%)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Blockchain Fabric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Autenticación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Vulnerabilidades A07:2021 (OWASP) detectadas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OWASP ZAP + revisión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Control de acceso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Rutas protegidas con verificación RBAC (%)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Playwright + inspección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No repudio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Transacciones firmadas en blockchain (%)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Hyperledger Explorer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Vulnerabilidades críticas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OWASP Top 10 críticas (A01–A10)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OWASP ZAP 2.14</w:t>
            </w:r>
          </w:p>
        </w:tc>
      </w:tr>
    </w:tbl>
    <w:p>
      <w:pPr>
        <w:spacing w:line="480" w:lineRule="auto"/>
      </w:pPr>
      <w:r>
        <w:rPr>
          <w:rFonts w:ascii="Times New Roman" w:hAnsi="Times New Roman"/>
          <w:b w:val="0"/>
          <w:i/>
          <w:color w:val="000000"/>
          <w:sz w:val="24"/>
        </w:rPr>
        <w:t xml:space="preserve">Nota. </w:t>
      </w:r>
      <w:r>
        <w:rPr>
          <w:rFonts w:ascii="Times New Roman" w:hAnsi="Times New Roman"/>
          <w:b w:val="0"/>
          <w:i w:val="0"/>
          <w:color w:val="000000"/>
          <w:sz w:val="24"/>
        </w:rPr>
        <w:t>OWASP ZAP (Zed Attack Proxy) es la herramienta de escaneo de seguridad de referencia de la fundación OWASP (2021), con cobertura de los 10 riesgos más críticos en aplicaciones web.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2.6 Mantenibilidad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mantenibilidad evalúa la facilidad para modificar, extender y corregir el sistema. Se utiliza análisis de código estático con SonarQube y métricas de cobertura de pruebas (Ammann &amp; Offutt, 2016).</w:t>
      </w:r>
    </w:p>
    <w:p>
      <w:pPr>
        <w:spacing w:line="480" w:lineRule="auto" w:before="0" w:after="0"/>
        <w:jc w:val="left"/>
      </w:pP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6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Métricas de Mantenibilidad (ISO/IEC 25010:2023, § 4.7)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Sub-característica</w:t>
            </w:r>
          </w:p>
        </w:tc>
        <w:tc>
          <w:tcPr>
            <w:tcW w:type="dxa" w:w="316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144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244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Instrumento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Modularidad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Acoplamiento entre módulos (CBO)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 7 por clase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SonarQube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Reusabilidad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Componentes reutilizados vs. total (%)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&gt; 60%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Análisis de código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Analizabilidad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Complejidad ciclomática promedio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 10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SonarQube / ESLint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Modificabilidad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Defectos de regresión por cambio (%)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 5%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Suite de pruebas de regresión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Capacidad de prueba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Cobertura de código por pruebas unitarias (%)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≥ 70%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Jest --coverage</w:t>
            </w:r>
          </w:p>
        </w:tc>
      </w:tr>
    </w:tbl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2.7 Portabilidad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portabilidad comprende la capacidad del sistema de funcionar en diferentes entornos de hardware, software y navegador (ISO/IEC, 2023). SilaDocs, por su arquitectura SaaS sobre Next.js 15, debe funcionar en todos los navegadores modernos con participación de mercado &gt; 1% (StatCounter, 2024).</w:t>
      </w:r>
    </w:p>
    <w:p>
      <w:pPr>
        <w:spacing w:line="480" w:lineRule="auto" w:before="0" w:after="0"/>
        <w:jc w:val="left"/>
      </w:pP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7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Métricas de Portabilidad (ISO/IEC 25010:2023, § 4.8)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Sub-característica</w:t>
            </w:r>
          </w:p>
        </w:tc>
        <w:tc>
          <w:tcPr>
            <w:tcW w:type="dxa" w:w="316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144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2448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Instrumento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Adaptabilidad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Navegadores soportados sin errores (#)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≥ 4 navegadores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BrowserStack / Playwright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Instalabilidad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Tiempo de despliegue automatizado (min)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&lt; 10 min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GitHub Actions CI/CD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Conformidad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Cumplimiento HTML5 / WCAG 2.1 (%)</w:t>
            </w:r>
          </w:p>
        </w:tc>
        <w:tc>
          <w:tcPr>
            <w:tcW w:type="dxa" w:w="144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≥ 95%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W3C Validator + axe-core</w:t>
            </w:r>
          </w:p>
        </w:tc>
      </w:tr>
    </w:tbl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3. Instrumento SUS: Encuesta de Usabilidad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Escala de Usabilidad del Sistema (SUS) consta de 10 afirmaciones con escala Likert de 1 a 5. Los ítems impares (1, 3, 5, 7, 9) son positivos y los pares (2, 4, 6, 8, 10) negativos. El puntaje se calcula según la fórmula de Brooke (1996): SUS = [(Σ ítems impares − 5) + (25 − Σ ítems pares)] × 2.5. El resultado varía de 0 a 100; valores &gt; 70 indican usabilidad aceptable (Bangor et al., 2008).</w:t>
      </w:r>
    </w:p>
    <w:p>
      <w:pPr>
        <w:spacing w:line="480" w:lineRule="auto" w:before="0" w:after="0"/>
        <w:jc w:val="left"/>
      </w:pP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Tabla 8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Ítems de la Escala SUS Adaptados a SilaDocs (Brooke, 1996)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N.º</w:t>
            </w:r>
          </w:p>
        </w:tc>
        <w:tc>
          <w:tcPr>
            <w:tcW w:type="dxa" w:w="6912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Afirmación</w:t>
            </w:r>
          </w:p>
        </w:tc>
        <w:tc>
          <w:tcPr>
            <w:tcW w:type="dxa" w:w="2160"/>
            <w:shd w:val="clear" w:color="auto" w:fill="D0D0D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Escala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691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Creo que me gustaría usar SilaDocs con frecuencia.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 — 2 — 3 — 4 — 5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691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Encontré SilaDocs innecesariamente complejo.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 — 2 — 3 — 4 — 5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691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Pensé que SilaDocs era fácil de usar.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 — 2 — 3 — 4 — 5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691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Necesitaría ayuda de un técnico para usar SilaDocs.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 — 2 — 3 — 4 — 5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691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Las funciones de SilaDocs estaban bien integradas.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 — 2 — 3 — 4 — 5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691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Había demasiada inconsistencia en SilaDocs.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 — 2 — 3 — 4 — 5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691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Supongo que la mayoría de personas aprendería SilaDocs rápidamente.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 — 2 — 3 — 4 — 5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691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Encontré SilaDocs muy incómodo de usar.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 — 2 — 3 — 4 — 5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691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Me sentí muy seguro usando SilaDocs.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 — 2 — 3 — 4 — 5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691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Necesité aprender muchas cosas antes de poder usar SilaDocs.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 — 2 — 3 — 4 — 5</w:t>
            </w:r>
          </w:p>
        </w:tc>
      </w:tr>
    </w:tbl>
    <w:p>
      <w:pPr>
        <w:spacing w:line="480" w:lineRule="auto"/>
      </w:pPr>
      <w:r>
        <w:rPr>
          <w:rFonts w:ascii="Times New Roman" w:hAnsi="Times New Roman"/>
          <w:b w:val="0"/>
          <w:i/>
          <w:color w:val="000000"/>
          <w:sz w:val="24"/>
        </w:rPr>
        <w:t xml:space="preserve">Nota. </w:t>
      </w:r>
      <w:r>
        <w:rPr>
          <w:rFonts w:ascii="Times New Roman" w:hAnsi="Times New Roman"/>
          <w:b w:val="0"/>
          <w:i w:val="0"/>
          <w:color w:val="000000"/>
          <w:sz w:val="24"/>
        </w:rPr>
        <w:t>Traducción y adaptación del SUS original de Brooke (1996). 1 = Totalmente en desacuerdo; 5 = Totalmente de acuerdo.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Referencias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Ammann, P., &amp; Offutt, J. (2016). Introduction to software testing (2.ª ed.). Cambridge University Press. https://doi.org/10.1017/9781316771273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Bangor, A., Kortum, P. T., &amp; Miller, J. T. (2008). An empirical evaluation of the System Usability Scale. International Journal of Human-Computer Interaction, 24(6), 574–594. https://doi.org/10.1080/10447310802205776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Brooke, J. (1996). SUS: A "quick and dirty" usability scale. En P. W. Jordan, B. Thomas, B. A. Weerdmeester &amp; I. L. McClelland (Eds.), Usability evaluation in industry (pp. 189–194). Taylor &amp; Francis.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Hyperledger Foundation. (2023). Hyperledger Fabric documentation (v2.5). Linux Foundation. https://hyperledger-fabric.readthedocs.io/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IEEE. (2008). IEEE 829-2008: Standard for software and system test documentation. Institute of Electrical and Electronics Engineers. https://doi.org/10.1109/IEEESTD.2008.4578383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ISO/IEC. (2016). ISO/IEC 25023:2016 — Systems and software engineering — Systems and software Quality Requirements and Evaluation (SQuaRE) — Measurement of system and software product quality. International Organization for Standardization.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ISO/IEC. (2023). ISO/IEC 25010:2023 — Systems and software engineering — Systems and software Quality Requirements and Evaluation (SQuaRE) — Product quality model. International Organization for Standardization.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Nielsen, J. (1994). Usability engineering. Morgan Kaufmann.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Nygard, M. T. (2018). Release it! Design and deploy production-ready software (2.ª ed.). Pragmatic Bookshelf.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OWASP. (2021). OWASP Top 10:2021 — Top ten web application security risks. Open Web Application Security Project. https://owasp.org/Top10/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StatCounter. (2024). Browser market share worldwide. StatCounter Global Stats. https://gs.statcounter.com/browser-market-share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W3C. (2023). Web Content Accessibility Guidelines (WCAG) 2.1. World Wide Web Consortium. https://www.w3.org/TR/WCAG21/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b w:val="0"/>
        <w:i w:val="0"/>
        <w:color w:val="000000"/>
        <w:sz w:val="24"/>
      </w:rPr>
      <w:t>SILADOCS: VALIDACIÓN DE PRODUCTO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