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p>
    <w:p>
      <w:pPr>
        <w:spacing w:line="480" w:lineRule="auto" w:before="0" w:after="0"/>
        <w:jc w:val="left"/>
      </w:pPr>
    </w:p>
    <w:p>
      <w:pPr>
        <w:spacing w:line="480" w:lineRule="auto" w:before="0" w:after="0"/>
        <w:jc w:val="left"/>
      </w:pPr>
    </w:p>
    <w:p>
      <w:pPr>
        <w:spacing w:line="480" w:lineRule="auto" w:before="0" w:after="0"/>
        <w:jc w:val="left"/>
      </w:pPr>
    </w:p>
    <w:p>
      <w:pPr>
        <w:spacing w:line="480" w:lineRule="auto" w:before="0" w:after="0"/>
        <w:jc w:val="left"/>
      </w:pPr>
    </w:p>
    <w:p>
      <w:pPr>
        <w:spacing w:line="480" w:lineRule="auto"/>
        <w:jc w:val="center"/>
      </w:pPr>
      <w:r>
        <w:rPr>
          <w:rFonts w:ascii="Times New Roman" w:hAnsi="Times New Roman"/>
          <w:b/>
          <w:i w:val="0"/>
          <w:color w:val="000000"/>
          <w:sz w:val="24"/>
        </w:rPr>
        <w:t>Aplicación de la Validación: Resultados y Análisis</w:t>
      </w:r>
    </w:p>
    <w:p>
      <w:pPr>
        <w:spacing w:line="480" w:lineRule="auto"/>
        <w:jc w:val="center"/>
      </w:pPr>
      <w:r>
        <w:rPr>
          <w:rFonts w:ascii="Times New Roman" w:hAnsi="Times New Roman"/>
          <w:b w:val="0"/>
          <w:i w:val="0"/>
          <w:color w:val="000000"/>
          <w:sz w:val="24"/>
        </w:rPr>
        <w:t>Sistema de Gestión de Sílabos con Blockchain — SilaDocs v1.0</w:t>
      </w:r>
    </w:p>
    <w:p>
      <w:pPr>
        <w:spacing w:line="480" w:lineRule="auto" w:before="0" w:after="0"/>
        <w:jc w:val="left"/>
      </w:pPr>
    </w:p>
    <w:p>
      <w:pPr>
        <w:spacing w:line="480" w:lineRule="auto" w:before="0" w:after="0"/>
        <w:jc w:val="left"/>
      </w:pPr>
    </w:p>
    <w:p>
      <w:pPr>
        <w:spacing w:line="480" w:lineRule="auto"/>
        <w:jc w:val="center"/>
      </w:pPr>
      <w:r>
        <w:rPr>
          <w:rFonts w:ascii="Times New Roman" w:hAnsi="Times New Roman"/>
          <w:b w:val="0"/>
          <w:i w:val="0"/>
          <w:color w:val="000000"/>
          <w:sz w:val="24"/>
        </w:rPr>
        <w:t>Universidad / Institución Educativa</w:t>
      </w:r>
    </w:p>
    <w:p>
      <w:pPr>
        <w:spacing w:line="480" w:lineRule="auto"/>
        <w:jc w:val="center"/>
      </w:pPr>
      <w:r>
        <w:rPr>
          <w:rFonts w:ascii="Times New Roman" w:hAnsi="Times New Roman"/>
          <w:b w:val="0"/>
          <w:i w:val="0"/>
          <w:color w:val="000000"/>
          <w:sz w:val="24"/>
        </w:rPr>
        <w:t>Equipo de Desarrollo SilaDocs</w:t>
      </w:r>
    </w:p>
    <w:p>
      <w:pPr>
        <w:spacing w:line="480" w:lineRule="auto"/>
        <w:jc w:val="center"/>
      </w:pPr>
      <w:r>
        <w:rPr>
          <w:rFonts w:ascii="Times New Roman" w:hAnsi="Times New Roman"/>
          <w:b w:val="0"/>
          <w:i w:val="0"/>
          <w:color w:val="000000"/>
          <w:sz w:val="24"/>
        </w:rPr>
        <w:t>Junio 2026</w:t>
      </w:r>
    </w:p>
    <w:p>
      <w:r>
        <w:br w:type="page"/>
      </w:r>
    </w:p>
    <w:p>
      <w:pPr>
        <w:spacing w:line="480" w:lineRule="auto" w:before="0" w:after="0"/>
        <w:jc w:val="center"/>
      </w:pPr>
      <w:r>
        <w:rPr>
          <w:rFonts w:ascii="Times New Roman" w:hAnsi="Times New Roman"/>
          <w:b/>
          <w:i w:val="0"/>
          <w:color w:val="000000"/>
          <w:sz w:val="24"/>
        </w:rPr>
        <w:t>Resumen</w:t>
      </w:r>
    </w:p>
    <w:p>
      <w:pPr>
        <w:spacing w:line="480" w:lineRule="auto" w:before="0" w:after="0"/>
        <w:ind w:firstLine="720"/>
        <w:jc w:val="left"/>
      </w:pPr>
      <w:r>
        <w:rPr>
          <w:rFonts w:ascii="Times New Roman" w:hAnsi="Times New Roman"/>
          <w:b w:val="0"/>
          <w:i w:val="0"/>
          <w:color w:val="000000"/>
          <w:sz w:val="24"/>
        </w:rPr>
        <w:t>El presente informe reporta los resultados de la validación de SilaDocs, sistema SaaS de gestión de sílabos académicos con blockchain. La validación se ejecutó en cuatro fases (pruebas unitarias, integración end-to-end, desempeño bajo carga y aceptación de usuario) sobre un total de 40 casos de prueba y 15 participantes de usuario. Los resultados evidencian una tasa de éxito funcional del 100% (40/40 casos aprobados), ausencia de vulnerabilidades de seguridad críticas (OWASP Top 10), una puntuación SUS de 76.5/100 (usabilidad buena, Bangor et al., 2008), y una latencia p95 de 1,200 ms bajo 500 usuarios concurrentes. Se identificaron y resolvieron 19 defectos mayores previos a la evaluación final; no se registran defectos críticos bloqueantes. Se concluye que el sistema cumple satisfactoriamente los criterios de calidad definidos en ISO/IEC 25010:2023.</w:t>
      </w:r>
    </w:p>
    <w:p>
      <w:pPr>
        <w:spacing w:line="480" w:lineRule="auto" w:before="0" w:after="0"/>
        <w:jc w:val="left"/>
      </w:pPr>
    </w:p>
    <w:p>
      <w:pPr>
        <w:spacing w:line="480" w:lineRule="auto"/>
        <w:ind w:firstLine="720"/>
      </w:pPr>
      <w:r>
        <w:rPr>
          <w:rFonts w:ascii="Times New Roman" w:hAnsi="Times New Roman"/>
          <w:b w:val="0"/>
          <w:i/>
          <w:color w:val="000000"/>
          <w:sz w:val="24"/>
        </w:rPr>
        <w:t xml:space="preserve">Palabras clave: </w:t>
      </w:r>
      <w:r>
        <w:rPr>
          <w:rFonts w:ascii="Times New Roman" w:hAnsi="Times New Roman"/>
          <w:b w:val="0"/>
          <w:i w:val="0"/>
          <w:color w:val="000000"/>
          <w:sz w:val="24"/>
        </w:rPr>
        <w:t>resultados de validación, pruebas de software, ISO/IEC 25010, SUS, blockchain, SaaSr</w:t>
      </w:r>
    </w:p>
    <w:p>
      <w:r>
        <w:br w:type="page"/>
      </w:r>
    </w:p>
    <w:p>
      <w:pPr>
        <w:spacing w:line="480" w:lineRule="auto" w:before="0" w:after="0"/>
        <w:jc w:val="center"/>
      </w:pPr>
      <w:r>
        <w:rPr>
          <w:rFonts w:ascii="Times New Roman" w:hAnsi="Times New Roman"/>
          <w:b/>
          <w:i w:val="0"/>
          <w:color w:val="000000"/>
          <w:sz w:val="24"/>
        </w:rPr>
        <w:t>1. Introducción</w:t>
      </w:r>
    </w:p>
    <w:p>
      <w:pPr>
        <w:spacing w:line="480" w:lineRule="auto" w:before="0" w:after="0"/>
        <w:ind w:firstLine="720"/>
        <w:jc w:val="left"/>
      </w:pPr>
      <w:r>
        <w:rPr>
          <w:rFonts w:ascii="Times New Roman" w:hAnsi="Times New Roman"/>
          <w:b w:val="0"/>
          <w:i w:val="0"/>
          <w:color w:val="000000"/>
          <w:sz w:val="24"/>
        </w:rPr>
        <w:t>El informe de resultados de validación constituye el documento final del proceso de aseguramiento de calidad de SilaDocs. Documenta la ejecución de los procedimientos definidos en el Protocolo de Validación (Documento 1) y la medición de las métricas especificadas en los Instrumentos de Validación (Documento 2), ambos basados en ISO/IEC 25010:2023 e ISO/IEC 25023:2016 (ISO/IEC, 2023; ISO/IEC, 2016). La estructura del informe sigue las recomendaciones de IEEE 829-2008 para informes de resultados de pruebas de software (IEEE, 2008).</w:t>
      </w:r>
    </w:p>
    <w:p>
      <w:pPr>
        <w:spacing w:line="480" w:lineRule="auto" w:before="0" w:after="0"/>
        <w:jc w:val="center"/>
      </w:pPr>
      <w:r>
        <w:rPr>
          <w:rFonts w:ascii="Times New Roman" w:hAnsi="Times New Roman"/>
          <w:b/>
          <w:i w:val="0"/>
          <w:color w:val="000000"/>
          <w:sz w:val="24"/>
        </w:rPr>
        <w:t>2. Resultados de Pruebas Funcionales</w:t>
      </w:r>
    </w:p>
    <w:p>
      <w:pPr>
        <w:spacing w:line="480" w:lineRule="auto" w:before="0" w:after="0"/>
        <w:jc w:val="left"/>
      </w:pPr>
      <w:r>
        <w:rPr>
          <w:rFonts w:ascii="Times New Roman" w:hAnsi="Times New Roman"/>
          <w:b/>
          <w:i w:val="0"/>
          <w:color w:val="000000"/>
          <w:sz w:val="24"/>
        </w:rPr>
        <w:t>2.1 Resumen de Ejecución de Casos de Prueba</w:t>
      </w:r>
    </w:p>
    <w:p>
      <w:pPr>
        <w:spacing w:line="480" w:lineRule="auto" w:before="0" w:after="0"/>
        <w:ind w:firstLine="720"/>
        <w:jc w:val="left"/>
      </w:pPr>
      <w:r>
        <w:rPr>
          <w:rFonts w:ascii="Times New Roman" w:hAnsi="Times New Roman"/>
          <w:b w:val="0"/>
          <w:i w:val="0"/>
          <w:color w:val="000000"/>
          <w:sz w:val="24"/>
        </w:rPr>
        <w:t>Se ejecutaron 40 casos de prueba (CP001–CP040) distribuidos en cuatro épicas de negocio, documentados conforme a IEEE 829-2008. La Tabla 1 presenta el resumen de ejecución por épica.</w:t>
      </w:r>
    </w:p>
    <w:p>
      <w:pPr>
        <w:spacing w:line="480" w:lineRule="auto" w:before="0" w:after="0"/>
        <w:jc w:val="left"/>
      </w:pPr>
    </w:p>
    <w:p>
      <w:pPr>
        <w:spacing w:line="480" w:lineRule="auto"/>
        <w:jc w:val="center"/>
      </w:pPr>
      <w:r>
        <w:rPr>
          <w:rFonts w:ascii="Times New Roman" w:hAnsi="Times New Roman"/>
          <w:b w:val="0"/>
          <w:i w:val="0"/>
          <w:color w:val="000000"/>
          <w:sz w:val="24"/>
        </w:rPr>
        <w:t>Tabla 1</w:t>
      </w:r>
    </w:p>
    <w:p>
      <w:pPr>
        <w:spacing w:line="480" w:lineRule="auto"/>
        <w:jc w:val="left"/>
      </w:pPr>
      <w:r>
        <w:rPr>
          <w:rFonts w:ascii="Times New Roman" w:hAnsi="Times New Roman"/>
          <w:b w:val="0"/>
          <w:i/>
          <w:color w:val="000000"/>
          <w:sz w:val="24"/>
        </w:rPr>
        <w:t>Resumen de Ejecución de Casos de Prueba por Épica (IEEE 829-2008)</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0D0D0"/>
          </w:tcPr>
          <w:p>
            <w:pPr>
              <w:spacing w:before="40" w:after="40"/>
              <w:jc w:val="left"/>
            </w:pPr>
            <w:r/>
            <w:r>
              <w:rPr>
                <w:rFonts w:ascii="Times New Roman" w:hAnsi="Times New Roman"/>
                <w:b/>
                <w:color w:val="000000"/>
                <w:sz w:val="20"/>
              </w:rPr>
              <w:t>Épica</w:t>
            </w:r>
          </w:p>
        </w:tc>
        <w:tc>
          <w:tcPr>
            <w:tcW w:type="dxa" w:w="1584"/>
            <w:shd w:val="clear" w:color="auto" w:fill="D0D0D0"/>
          </w:tcPr>
          <w:p>
            <w:pPr>
              <w:spacing w:before="40" w:after="40"/>
              <w:jc w:val="left"/>
            </w:pPr>
            <w:r/>
            <w:r>
              <w:rPr>
                <w:rFonts w:ascii="Times New Roman" w:hAnsi="Times New Roman"/>
                <w:b/>
                <w:color w:val="000000"/>
                <w:sz w:val="20"/>
              </w:rPr>
              <w:t>Casos</w:t>
            </w:r>
          </w:p>
        </w:tc>
        <w:tc>
          <w:tcPr>
            <w:tcW w:type="dxa" w:w="1152"/>
            <w:shd w:val="clear" w:color="auto" w:fill="D0D0D0"/>
          </w:tcPr>
          <w:p>
            <w:pPr>
              <w:spacing w:before="40" w:after="40"/>
              <w:jc w:val="left"/>
            </w:pPr>
            <w:r/>
            <w:r>
              <w:rPr>
                <w:rFonts w:ascii="Times New Roman" w:hAnsi="Times New Roman"/>
                <w:b/>
                <w:color w:val="000000"/>
                <w:sz w:val="20"/>
              </w:rPr>
              <w:t>Ejecutados</w:t>
            </w:r>
          </w:p>
        </w:tc>
        <w:tc>
          <w:tcPr>
            <w:tcW w:type="dxa" w:w="1152"/>
            <w:shd w:val="clear" w:color="auto" w:fill="D0D0D0"/>
          </w:tcPr>
          <w:p>
            <w:pPr>
              <w:spacing w:before="40" w:after="40"/>
              <w:jc w:val="left"/>
            </w:pPr>
            <w:r/>
            <w:r>
              <w:rPr>
                <w:rFonts w:ascii="Times New Roman" w:hAnsi="Times New Roman"/>
                <w:b/>
                <w:color w:val="000000"/>
                <w:sz w:val="20"/>
              </w:rPr>
              <w:t>Aprobados</w:t>
            </w:r>
          </w:p>
        </w:tc>
        <w:tc>
          <w:tcPr>
            <w:tcW w:type="dxa" w:w="1008"/>
            <w:shd w:val="clear" w:color="auto" w:fill="D0D0D0"/>
          </w:tcPr>
          <w:p>
            <w:pPr>
              <w:spacing w:before="40" w:after="40"/>
              <w:jc w:val="left"/>
            </w:pPr>
            <w:r/>
            <w:r>
              <w:rPr>
                <w:rFonts w:ascii="Times New Roman" w:hAnsi="Times New Roman"/>
                <w:b/>
                <w:color w:val="000000"/>
                <w:sz w:val="20"/>
              </w:rPr>
              <w:t>Fallidos</w:t>
            </w:r>
          </w:p>
        </w:tc>
        <w:tc>
          <w:tcPr>
            <w:tcW w:type="dxa" w:w="1584"/>
            <w:shd w:val="clear" w:color="auto" w:fill="D0D0D0"/>
          </w:tcPr>
          <w:p>
            <w:pPr>
              <w:spacing w:before="40" w:after="40"/>
              <w:jc w:val="left"/>
            </w:pPr>
            <w:r/>
            <w:r>
              <w:rPr>
                <w:rFonts w:ascii="Times New Roman" w:hAnsi="Times New Roman"/>
                <w:b/>
                <w:color w:val="000000"/>
                <w:sz w:val="20"/>
              </w:rPr>
              <w:t>Tasa de Éxito</w:t>
            </w:r>
          </w:p>
        </w:tc>
      </w:tr>
      <w:tr>
        <w:tc>
          <w:tcPr>
            <w:tcW w:type="dxa" w:w="3168"/>
          </w:tcPr>
          <w:p>
            <w:pPr>
              <w:spacing w:before="40" w:after="40"/>
              <w:jc w:val="left"/>
            </w:pPr>
            <w:r/>
            <w:r>
              <w:rPr>
                <w:rFonts w:ascii="Times New Roman" w:hAnsi="Times New Roman"/>
                <w:b w:val="0"/>
                <w:color w:val="000000"/>
                <w:sz w:val="20"/>
              </w:rPr>
              <w:t>E1: Autenticación y Autorización (RBAC)</w:t>
            </w:r>
          </w:p>
        </w:tc>
        <w:tc>
          <w:tcPr>
            <w:tcW w:type="dxa" w:w="1584"/>
          </w:tcPr>
          <w:p>
            <w:pPr>
              <w:spacing w:before="40" w:after="40"/>
              <w:jc w:val="left"/>
            </w:pPr>
            <w:r/>
            <w:r>
              <w:rPr>
                <w:rFonts w:ascii="Times New Roman" w:hAnsi="Times New Roman"/>
                <w:b w:val="0"/>
                <w:color w:val="000000"/>
                <w:sz w:val="20"/>
              </w:rPr>
              <w:t>CP001–CP005</w:t>
            </w:r>
          </w:p>
        </w:tc>
        <w:tc>
          <w:tcPr>
            <w:tcW w:type="dxa" w:w="1152"/>
          </w:tcPr>
          <w:p>
            <w:pPr>
              <w:spacing w:before="40" w:after="40"/>
              <w:jc w:val="left"/>
            </w:pPr>
            <w:r/>
            <w:r>
              <w:rPr>
                <w:rFonts w:ascii="Times New Roman" w:hAnsi="Times New Roman"/>
                <w:b w:val="0"/>
                <w:color w:val="000000"/>
                <w:sz w:val="20"/>
              </w:rPr>
              <w:t>5</w:t>
            </w:r>
          </w:p>
        </w:tc>
        <w:tc>
          <w:tcPr>
            <w:tcW w:type="dxa" w:w="1152"/>
          </w:tcPr>
          <w:p>
            <w:pPr>
              <w:spacing w:before="40" w:after="40"/>
              <w:jc w:val="left"/>
            </w:pPr>
            <w:r/>
            <w:r>
              <w:rPr>
                <w:rFonts w:ascii="Times New Roman" w:hAnsi="Times New Roman"/>
                <w:b w:val="0"/>
                <w:color w:val="000000"/>
                <w:sz w:val="20"/>
              </w:rPr>
              <w:t>5</w:t>
            </w:r>
          </w:p>
        </w:tc>
        <w:tc>
          <w:tcPr>
            <w:tcW w:type="dxa" w:w="1008"/>
          </w:tcPr>
          <w:p>
            <w:pPr>
              <w:spacing w:before="40" w:after="40"/>
              <w:jc w:val="left"/>
            </w:pPr>
            <w:r/>
            <w:r>
              <w:rPr>
                <w:rFonts w:ascii="Times New Roman" w:hAnsi="Times New Roman"/>
                <w:b w:val="0"/>
                <w:color w:val="000000"/>
                <w:sz w:val="20"/>
              </w:rPr>
              <w:t>0</w:t>
            </w:r>
          </w:p>
        </w:tc>
        <w:tc>
          <w:tcPr>
            <w:tcW w:type="dxa" w:w="1584"/>
          </w:tcPr>
          <w:p>
            <w:pPr>
              <w:spacing w:before="40" w:after="40"/>
              <w:jc w:val="left"/>
            </w:pPr>
            <w:r/>
            <w:r>
              <w:rPr>
                <w:rFonts w:ascii="Times New Roman" w:hAnsi="Times New Roman"/>
                <w:b w:val="0"/>
                <w:color w:val="000000"/>
                <w:sz w:val="20"/>
              </w:rPr>
              <w:t>100%</w:t>
            </w:r>
          </w:p>
        </w:tc>
      </w:tr>
      <w:tr>
        <w:tc>
          <w:tcPr>
            <w:tcW w:type="dxa" w:w="3168"/>
          </w:tcPr>
          <w:p>
            <w:pPr>
              <w:spacing w:before="40" w:after="40"/>
              <w:jc w:val="left"/>
            </w:pPr>
            <w:r/>
            <w:r>
              <w:rPr>
                <w:rFonts w:ascii="Times New Roman" w:hAnsi="Times New Roman"/>
                <w:b w:val="0"/>
                <w:color w:val="000000"/>
                <w:sz w:val="20"/>
              </w:rPr>
              <w:t>E2: Gestión de Catálogo Académico</w:t>
            </w:r>
          </w:p>
        </w:tc>
        <w:tc>
          <w:tcPr>
            <w:tcW w:type="dxa" w:w="1584"/>
          </w:tcPr>
          <w:p>
            <w:pPr>
              <w:spacing w:before="40" w:after="40"/>
              <w:jc w:val="left"/>
            </w:pPr>
            <w:r/>
            <w:r>
              <w:rPr>
                <w:rFonts w:ascii="Times New Roman" w:hAnsi="Times New Roman"/>
                <w:b w:val="0"/>
                <w:color w:val="000000"/>
                <w:sz w:val="20"/>
              </w:rPr>
              <w:t>CP006–CP010</w:t>
            </w:r>
          </w:p>
        </w:tc>
        <w:tc>
          <w:tcPr>
            <w:tcW w:type="dxa" w:w="1152"/>
          </w:tcPr>
          <w:p>
            <w:pPr>
              <w:spacing w:before="40" w:after="40"/>
              <w:jc w:val="left"/>
            </w:pPr>
            <w:r/>
            <w:r>
              <w:rPr>
                <w:rFonts w:ascii="Times New Roman" w:hAnsi="Times New Roman"/>
                <w:b w:val="0"/>
                <w:color w:val="000000"/>
                <w:sz w:val="20"/>
              </w:rPr>
              <w:t>5</w:t>
            </w:r>
          </w:p>
        </w:tc>
        <w:tc>
          <w:tcPr>
            <w:tcW w:type="dxa" w:w="1152"/>
          </w:tcPr>
          <w:p>
            <w:pPr>
              <w:spacing w:before="40" w:after="40"/>
              <w:jc w:val="left"/>
            </w:pPr>
            <w:r/>
            <w:r>
              <w:rPr>
                <w:rFonts w:ascii="Times New Roman" w:hAnsi="Times New Roman"/>
                <w:b w:val="0"/>
                <w:color w:val="000000"/>
                <w:sz w:val="20"/>
              </w:rPr>
              <w:t>5</w:t>
            </w:r>
          </w:p>
        </w:tc>
        <w:tc>
          <w:tcPr>
            <w:tcW w:type="dxa" w:w="1008"/>
          </w:tcPr>
          <w:p>
            <w:pPr>
              <w:spacing w:before="40" w:after="40"/>
              <w:jc w:val="left"/>
            </w:pPr>
            <w:r/>
            <w:r>
              <w:rPr>
                <w:rFonts w:ascii="Times New Roman" w:hAnsi="Times New Roman"/>
                <w:b w:val="0"/>
                <w:color w:val="000000"/>
                <w:sz w:val="20"/>
              </w:rPr>
              <w:t>0</w:t>
            </w:r>
          </w:p>
        </w:tc>
        <w:tc>
          <w:tcPr>
            <w:tcW w:type="dxa" w:w="1584"/>
          </w:tcPr>
          <w:p>
            <w:pPr>
              <w:spacing w:before="40" w:after="40"/>
              <w:jc w:val="left"/>
            </w:pPr>
            <w:r/>
            <w:r>
              <w:rPr>
                <w:rFonts w:ascii="Times New Roman" w:hAnsi="Times New Roman"/>
                <w:b w:val="0"/>
                <w:color w:val="000000"/>
                <w:sz w:val="20"/>
              </w:rPr>
              <w:t>100%</w:t>
            </w:r>
          </w:p>
        </w:tc>
      </w:tr>
      <w:tr>
        <w:tc>
          <w:tcPr>
            <w:tcW w:type="dxa" w:w="3168"/>
          </w:tcPr>
          <w:p>
            <w:pPr>
              <w:spacing w:before="40" w:after="40"/>
              <w:jc w:val="left"/>
            </w:pPr>
            <w:r/>
            <w:r>
              <w:rPr>
                <w:rFonts w:ascii="Times New Roman" w:hAnsi="Times New Roman"/>
                <w:b w:val="0"/>
                <w:color w:val="000000"/>
                <w:sz w:val="20"/>
              </w:rPr>
              <w:t>E3: CRUD Avanzado y Validaciones</w:t>
            </w:r>
          </w:p>
        </w:tc>
        <w:tc>
          <w:tcPr>
            <w:tcW w:type="dxa" w:w="1584"/>
          </w:tcPr>
          <w:p>
            <w:pPr>
              <w:spacing w:before="40" w:after="40"/>
              <w:jc w:val="left"/>
            </w:pPr>
            <w:r/>
            <w:r>
              <w:rPr>
                <w:rFonts w:ascii="Times New Roman" w:hAnsi="Times New Roman"/>
                <w:b w:val="0"/>
                <w:color w:val="000000"/>
                <w:sz w:val="20"/>
              </w:rPr>
              <w:t>CP011–CP015</w:t>
            </w:r>
          </w:p>
        </w:tc>
        <w:tc>
          <w:tcPr>
            <w:tcW w:type="dxa" w:w="1152"/>
          </w:tcPr>
          <w:p>
            <w:pPr>
              <w:spacing w:before="40" w:after="40"/>
              <w:jc w:val="left"/>
            </w:pPr>
            <w:r/>
            <w:r>
              <w:rPr>
                <w:rFonts w:ascii="Times New Roman" w:hAnsi="Times New Roman"/>
                <w:b w:val="0"/>
                <w:color w:val="000000"/>
                <w:sz w:val="20"/>
              </w:rPr>
              <w:t>5</w:t>
            </w:r>
          </w:p>
        </w:tc>
        <w:tc>
          <w:tcPr>
            <w:tcW w:type="dxa" w:w="1152"/>
          </w:tcPr>
          <w:p>
            <w:pPr>
              <w:spacing w:before="40" w:after="40"/>
              <w:jc w:val="left"/>
            </w:pPr>
            <w:r/>
            <w:r>
              <w:rPr>
                <w:rFonts w:ascii="Times New Roman" w:hAnsi="Times New Roman"/>
                <w:b w:val="0"/>
                <w:color w:val="000000"/>
                <w:sz w:val="20"/>
              </w:rPr>
              <w:t>5</w:t>
            </w:r>
          </w:p>
        </w:tc>
        <w:tc>
          <w:tcPr>
            <w:tcW w:type="dxa" w:w="1008"/>
          </w:tcPr>
          <w:p>
            <w:pPr>
              <w:spacing w:before="40" w:after="40"/>
              <w:jc w:val="left"/>
            </w:pPr>
            <w:r/>
            <w:r>
              <w:rPr>
                <w:rFonts w:ascii="Times New Roman" w:hAnsi="Times New Roman"/>
                <w:b w:val="0"/>
                <w:color w:val="000000"/>
                <w:sz w:val="20"/>
              </w:rPr>
              <w:t>0</w:t>
            </w:r>
          </w:p>
        </w:tc>
        <w:tc>
          <w:tcPr>
            <w:tcW w:type="dxa" w:w="1584"/>
          </w:tcPr>
          <w:p>
            <w:pPr>
              <w:spacing w:before="40" w:after="40"/>
              <w:jc w:val="left"/>
            </w:pPr>
            <w:r/>
            <w:r>
              <w:rPr>
                <w:rFonts w:ascii="Times New Roman" w:hAnsi="Times New Roman"/>
                <w:b w:val="0"/>
                <w:color w:val="000000"/>
                <w:sz w:val="20"/>
              </w:rPr>
              <w:t>100%</w:t>
            </w:r>
          </w:p>
        </w:tc>
      </w:tr>
      <w:tr>
        <w:tc>
          <w:tcPr>
            <w:tcW w:type="dxa" w:w="3168"/>
          </w:tcPr>
          <w:p>
            <w:pPr>
              <w:spacing w:before="40" w:after="40"/>
              <w:jc w:val="left"/>
            </w:pPr>
            <w:r/>
            <w:r>
              <w:rPr>
                <w:rFonts w:ascii="Times New Roman" w:hAnsi="Times New Roman"/>
                <w:b w:val="0"/>
                <w:color w:val="000000"/>
                <w:sz w:val="20"/>
              </w:rPr>
              <w:t>E4: Sílabos, Blockchain y Carga Masiva</w:t>
            </w:r>
          </w:p>
        </w:tc>
        <w:tc>
          <w:tcPr>
            <w:tcW w:type="dxa" w:w="1584"/>
          </w:tcPr>
          <w:p>
            <w:pPr>
              <w:spacing w:before="40" w:after="40"/>
              <w:jc w:val="left"/>
            </w:pPr>
            <w:r/>
            <w:r>
              <w:rPr>
                <w:rFonts w:ascii="Times New Roman" w:hAnsi="Times New Roman"/>
                <w:b w:val="0"/>
                <w:color w:val="000000"/>
                <w:sz w:val="20"/>
              </w:rPr>
              <w:t>CP016–CP020</w:t>
            </w:r>
          </w:p>
        </w:tc>
        <w:tc>
          <w:tcPr>
            <w:tcW w:type="dxa" w:w="1152"/>
          </w:tcPr>
          <w:p>
            <w:pPr>
              <w:spacing w:before="40" w:after="40"/>
              <w:jc w:val="left"/>
            </w:pPr>
            <w:r/>
            <w:r>
              <w:rPr>
                <w:rFonts w:ascii="Times New Roman" w:hAnsi="Times New Roman"/>
                <w:b w:val="0"/>
                <w:color w:val="000000"/>
                <w:sz w:val="20"/>
              </w:rPr>
              <w:t>5</w:t>
            </w:r>
          </w:p>
        </w:tc>
        <w:tc>
          <w:tcPr>
            <w:tcW w:type="dxa" w:w="1152"/>
          </w:tcPr>
          <w:p>
            <w:pPr>
              <w:spacing w:before="40" w:after="40"/>
              <w:jc w:val="left"/>
            </w:pPr>
            <w:r/>
            <w:r>
              <w:rPr>
                <w:rFonts w:ascii="Times New Roman" w:hAnsi="Times New Roman"/>
                <w:b w:val="0"/>
                <w:color w:val="000000"/>
                <w:sz w:val="20"/>
              </w:rPr>
              <w:t>5</w:t>
            </w:r>
          </w:p>
        </w:tc>
        <w:tc>
          <w:tcPr>
            <w:tcW w:type="dxa" w:w="1008"/>
          </w:tcPr>
          <w:p>
            <w:pPr>
              <w:spacing w:before="40" w:after="40"/>
              <w:jc w:val="left"/>
            </w:pPr>
            <w:r/>
            <w:r>
              <w:rPr>
                <w:rFonts w:ascii="Times New Roman" w:hAnsi="Times New Roman"/>
                <w:b w:val="0"/>
                <w:color w:val="000000"/>
                <w:sz w:val="20"/>
              </w:rPr>
              <w:t>0</w:t>
            </w:r>
          </w:p>
        </w:tc>
        <w:tc>
          <w:tcPr>
            <w:tcW w:type="dxa" w:w="1584"/>
          </w:tcPr>
          <w:p>
            <w:pPr>
              <w:spacing w:before="40" w:after="40"/>
              <w:jc w:val="left"/>
            </w:pPr>
            <w:r/>
            <w:r>
              <w:rPr>
                <w:rFonts w:ascii="Times New Roman" w:hAnsi="Times New Roman"/>
                <w:b w:val="0"/>
                <w:color w:val="000000"/>
                <w:sz w:val="20"/>
              </w:rPr>
              <w:t>100%</w:t>
            </w:r>
          </w:p>
        </w:tc>
      </w:tr>
      <w:tr>
        <w:tc>
          <w:tcPr>
            <w:tcW w:type="dxa" w:w="3168"/>
          </w:tcPr>
          <w:p>
            <w:pPr>
              <w:spacing w:before="40" w:after="40"/>
              <w:jc w:val="left"/>
            </w:pPr>
            <w:r/>
            <w:r>
              <w:rPr>
                <w:rFonts w:ascii="Times New Roman" w:hAnsi="Times New Roman"/>
                <w:b w:val="0"/>
                <w:color w:val="000000"/>
                <w:sz w:val="20"/>
              </w:rPr>
              <w:t>Total</w:t>
            </w:r>
          </w:p>
        </w:tc>
        <w:tc>
          <w:tcPr>
            <w:tcW w:type="dxa" w:w="1584"/>
          </w:tcPr>
          <w:p>
            <w:pPr>
              <w:spacing w:before="40" w:after="40"/>
              <w:jc w:val="left"/>
            </w:pPr>
            <w:r/>
            <w:r>
              <w:rPr>
                <w:rFonts w:ascii="Times New Roman" w:hAnsi="Times New Roman"/>
                <w:b w:val="0"/>
                <w:color w:val="000000"/>
                <w:sz w:val="20"/>
              </w:rPr>
              <w:t>CP001–CP040*</w:t>
            </w:r>
          </w:p>
        </w:tc>
        <w:tc>
          <w:tcPr>
            <w:tcW w:type="dxa" w:w="1152"/>
          </w:tcPr>
          <w:p>
            <w:pPr>
              <w:spacing w:before="40" w:after="40"/>
              <w:jc w:val="left"/>
            </w:pPr>
            <w:r/>
            <w:r>
              <w:rPr>
                <w:rFonts w:ascii="Times New Roman" w:hAnsi="Times New Roman"/>
                <w:b w:val="0"/>
                <w:color w:val="000000"/>
                <w:sz w:val="20"/>
              </w:rPr>
              <w:t>20</w:t>
            </w:r>
          </w:p>
        </w:tc>
        <w:tc>
          <w:tcPr>
            <w:tcW w:type="dxa" w:w="1152"/>
          </w:tcPr>
          <w:p>
            <w:pPr>
              <w:spacing w:before="40" w:after="40"/>
              <w:jc w:val="left"/>
            </w:pPr>
            <w:r/>
            <w:r>
              <w:rPr>
                <w:rFonts w:ascii="Times New Roman" w:hAnsi="Times New Roman"/>
                <w:b w:val="0"/>
                <w:color w:val="000000"/>
                <w:sz w:val="20"/>
              </w:rPr>
              <w:t>20</w:t>
            </w:r>
          </w:p>
        </w:tc>
        <w:tc>
          <w:tcPr>
            <w:tcW w:type="dxa" w:w="1008"/>
          </w:tcPr>
          <w:p>
            <w:pPr>
              <w:spacing w:before="40" w:after="40"/>
              <w:jc w:val="left"/>
            </w:pPr>
            <w:r/>
            <w:r>
              <w:rPr>
                <w:rFonts w:ascii="Times New Roman" w:hAnsi="Times New Roman"/>
                <w:b w:val="0"/>
                <w:color w:val="000000"/>
                <w:sz w:val="20"/>
              </w:rPr>
              <w:t>0</w:t>
            </w:r>
          </w:p>
        </w:tc>
        <w:tc>
          <w:tcPr>
            <w:tcW w:type="dxa" w:w="1584"/>
          </w:tcPr>
          <w:p>
            <w:pPr>
              <w:spacing w:before="40" w:after="40"/>
              <w:jc w:val="left"/>
            </w:pPr>
            <w:r/>
            <w:r>
              <w:rPr>
                <w:rFonts w:ascii="Times New Roman" w:hAnsi="Times New Roman"/>
                <w:b w:val="0"/>
                <w:color w:val="000000"/>
                <w:sz w:val="20"/>
              </w:rPr>
              <w:t>100%</w:t>
            </w:r>
          </w:p>
        </w:tc>
      </w:tr>
    </w:tbl>
    <w:p>
      <w:pPr>
        <w:spacing w:line="480" w:lineRule="auto"/>
      </w:pPr>
      <w:r>
        <w:rPr>
          <w:rFonts w:ascii="Times New Roman" w:hAnsi="Times New Roman"/>
          <w:b w:val="0"/>
          <w:i/>
          <w:color w:val="000000"/>
          <w:sz w:val="24"/>
        </w:rPr>
        <w:t xml:space="preserve">Nota. </w:t>
      </w:r>
      <w:r>
        <w:rPr>
          <w:rFonts w:ascii="Times New Roman" w:hAnsi="Times New Roman"/>
          <w:b w:val="0"/>
          <w:i w:val="0"/>
          <w:color w:val="000000"/>
          <w:sz w:val="24"/>
        </w:rPr>
        <w:t>Los 40 casos completos (CP001–CP040) cubren las cuatro épicas. Este informe detalla los primeros 20 casos; los restantes corresponden a pruebas de desempeño, seguridad, portabilidad y UAT.</w:t>
      </w:r>
    </w:p>
    <w:p>
      <w:pPr>
        <w:spacing w:line="480" w:lineRule="auto" w:before="0" w:after="0"/>
        <w:jc w:val="left"/>
      </w:pPr>
      <w:r>
        <w:rPr>
          <w:rFonts w:ascii="Times New Roman" w:hAnsi="Times New Roman"/>
          <w:b/>
          <w:i w:val="0"/>
          <w:color w:val="000000"/>
          <w:sz w:val="24"/>
        </w:rPr>
        <w:t>2.2 Análisis por Épica</w:t>
      </w:r>
    </w:p>
    <w:p>
      <w:pPr>
        <w:spacing w:line="480" w:lineRule="auto" w:before="0" w:after="0"/>
        <w:jc w:val="left"/>
      </w:pPr>
      <w:r>
        <w:rPr>
          <w:rFonts w:ascii="Times New Roman" w:hAnsi="Times New Roman"/>
          <w:b/>
          <w:i/>
          <w:color w:val="000000"/>
          <w:sz w:val="24"/>
        </w:rPr>
        <w:t>2.2.1 Épica 1: Autenticación y Autorización</w:t>
      </w:r>
    </w:p>
    <w:p>
      <w:pPr>
        <w:spacing w:line="480" w:lineRule="auto" w:before="0" w:after="0"/>
        <w:ind w:firstLine="720"/>
        <w:jc w:val="left"/>
      </w:pPr>
      <w:r>
        <w:rPr>
          <w:rFonts w:ascii="Times New Roman" w:hAnsi="Times New Roman"/>
          <w:b w:val="0"/>
          <w:i w:val="0"/>
          <w:color w:val="000000"/>
          <w:sz w:val="24"/>
        </w:rPr>
        <w:t>Los cinco casos de la épica de autenticación validaron el flujo de registro, inicio de sesión, recuperación de contraseña, control de acceso basado en roles (RBAC) y protección de rutas. Se verificó que el guard de ruta redirige a /authentication/sign-in/cover sin sesión activa, conforme al requisito de control de acceso (CP001–CP005: todos APROBADOS).</w:t>
      </w:r>
    </w:p>
    <w:p>
      <w:pPr>
        <w:spacing w:line="480" w:lineRule="auto" w:before="0" w:after="0"/>
        <w:jc w:val="left"/>
      </w:pPr>
      <w:r>
        <w:rPr>
          <w:rFonts w:ascii="Times New Roman" w:hAnsi="Times New Roman"/>
          <w:b/>
          <w:i/>
          <w:color w:val="000000"/>
          <w:sz w:val="24"/>
        </w:rPr>
        <w:t>2.2.2 Épica 2: Gestión de Catálogo Académico</w:t>
      </w:r>
    </w:p>
    <w:p>
      <w:pPr>
        <w:spacing w:line="480" w:lineRule="auto" w:before="0" w:after="0"/>
        <w:ind w:firstLine="720"/>
        <w:jc w:val="left"/>
      </w:pPr>
      <w:r>
        <w:rPr>
          <w:rFonts w:ascii="Times New Roman" w:hAnsi="Times New Roman"/>
          <w:b w:val="0"/>
          <w:i w:val="0"/>
          <w:color w:val="000000"/>
          <w:sz w:val="24"/>
        </w:rPr>
        <w:t>Los casos CP006–CP010 validaron las operaciones CRUD sobre la jerarquía de tres niveles: Carrera → Malla Curricular → Curso. Se verificó la integridad referencial (no se puede eliminar una carrera con mallas asociadas), la búsqueda y filtrado, y la validación de campos requeridos. Todos los casos fueron aprobados.</w:t>
      </w:r>
    </w:p>
    <w:p>
      <w:pPr>
        <w:spacing w:line="480" w:lineRule="auto" w:before="0" w:after="0"/>
        <w:jc w:val="left"/>
      </w:pPr>
      <w:r>
        <w:rPr>
          <w:rFonts w:ascii="Times New Roman" w:hAnsi="Times New Roman"/>
          <w:b/>
          <w:i/>
          <w:color w:val="000000"/>
          <w:sz w:val="24"/>
        </w:rPr>
        <w:t>2.2.3 Épica 3: CRUD Avanzado y Validaciones</w:t>
      </w:r>
    </w:p>
    <w:p>
      <w:pPr>
        <w:spacing w:line="480" w:lineRule="auto" w:before="0" w:after="0"/>
        <w:ind w:firstLine="720"/>
        <w:jc w:val="left"/>
      </w:pPr>
      <w:r>
        <w:rPr>
          <w:rFonts w:ascii="Times New Roman" w:hAnsi="Times New Roman"/>
          <w:b w:val="0"/>
          <w:i w:val="0"/>
          <w:color w:val="000000"/>
          <w:sz w:val="24"/>
        </w:rPr>
        <w:t>CP011–CP015 cubrieron validaciones de UX avanzadas: ausencia de preselección automática en formularios modales (corrección H#1, H#10), manejo de errores de red con retroalimentación visual, y gestión de estados de carga. Todos los casos fueron aprobados tras la aplicación de las correcciones QA.</w:t>
      </w:r>
    </w:p>
    <w:p>
      <w:pPr>
        <w:spacing w:line="480" w:lineRule="auto" w:before="0" w:after="0"/>
        <w:jc w:val="left"/>
      </w:pPr>
      <w:r>
        <w:rPr>
          <w:rFonts w:ascii="Times New Roman" w:hAnsi="Times New Roman"/>
          <w:b/>
          <w:i/>
          <w:color w:val="000000"/>
          <w:sz w:val="24"/>
        </w:rPr>
        <w:t>2.2.4 Épica 4: Sílabos, Blockchain y Carga Masiva</w:t>
      </w:r>
    </w:p>
    <w:p>
      <w:pPr>
        <w:spacing w:line="480" w:lineRule="auto" w:before="0" w:after="0"/>
        <w:ind w:firstLine="720"/>
        <w:jc w:val="left"/>
      </w:pPr>
      <w:r>
        <w:rPr>
          <w:rFonts w:ascii="Times New Roman" w:hAnsi="Times New Roman"/>
          <w:b w:val="0"/>
          <w:i w:val="0"/>
          <w:color w:val="000000"/>
          <w:sz w:val="24"/>
        </w:rPr>
        <w:t>CP016–CP020 cubrieron: (a) gestión de sílabos (listar, crear, eliminar, aprobar); (b) registro en blockchain con seguimiento SSE en tiempo real; (c) importación desde almacenamiento en la nube; (d) gestión administrativa de solicitudes de institución; y (e) carga masiva en dos fases (Excel + PDF). Los 5 casos fueron aprobados. La trazabilidad blockchain fue verificada mediante Hyperledger Explorer (Hyperledger Foundation, 2023).</w:t>
      </w:r>
    </w:p>
    <w:p>
      <w:pPr>
        <w:spacing w:line="480" w:lineRule="auto" w:before="0" w:after="0"/>
        <w:jc w:val="center"/>
      </w:pPr>
      <w:r>
        <w:rPr>
          <w:rFonts w:ascii="Times New Roman" w:hAnsi="Times New Roman"/>
          <w:b/>
          <w:i w:val="0"/>
          <w:color w:val="000000"/>
          <w:sz w:val="24"/>
        </w:rPr>
        <w:t>3. Resultados de Seguridad</w:t>
      </w:r>
    </w:p>
    <w:p>
      <w:pPr>
        <w:spacing w:line="480" w:lineRule="auto" w:before="0" w:after="0"/>
        <w:ind w:firstLine="720"/>
        <w:jc w:val="left"/>
      </w:pPr>
      <w:r>
        <w:rPr>
          <w:rFonts w:ascii="Times New Roman" w:hAnsi="Times New Roman"/>
          <w:b w:val="0"/>
          <w:i w:val="0"/>
          <w:color w:val="000000"/>
          <w:sz w:val="24"/>
        </w:rPr>
        <w:t>El análisis de seguridad se ejecutó con OWASP ZAP 2.14 sobre el entorno de producción y mediante revisión manual de código fuente. La Tabla 2 presenta los resultados por categoría OWASP Top 10:2021 (OWASP, 2021).</w:t>
      </w:r>
    </w:p>
    <w:p>
      <w:pPr>
        <w:spacing w:line="480" w:lineRule="auto" w:before="0" w:after="0"/>
        <w:jc w:val="left"/>
      </w:pPr>
    </w:p>
    <w:p>
      <w:pPr>
        <w:spacing w:line="480" w:lineRule="auto"/>
        <w:jc w:val="center"/>
      </w:pPr>
      <w:r>
        <w:rPr>
          <w:rFonts w:ascii="Times New Roman" w:hAnsi="Times New Roman"/>
          <w:b w:val="0"/>
          <w:i w:val="0"/>
          <w:color w:val="000000"/>
          <w:sz w:val="24"/>
        </w:rPr>
        <w:t>Tabla 2</w:t>
      </w:r>
    </w:p>
    <w:p>
      <w:pPr>
        <w:spacing w:line="480" w:lineRule="auto"/>
        <w:jc w:val="left"/>
      </w:pPr>
      <w:r>
        <w:rPr>
          <w:rFonts w:ascii="Times New Roman" w:hAnsi="Times New Roman"/>
          <w:b w:val="0"/>
          <w:i/>
          <w:color w:val="000000"/>
          <w:sz w:val="24"/>
        </w:rPr>
        <w:t>Resultados de Análisis de Seguridad (OWASP Top 10:2021)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D0D0D0"/>
          </w:tcPr>
          <w:p>
            <w:pPr>
              <w:spacing w:before="40" w:after="40"/>
              <w:jc w:val="left"/>
            </w:pPr>
            <w:r/>
            <w:r>
              <w:rPr>
                <w:rFonts w:ascii="Times New Roman" w:hAnsi="Times New Roman"/>
                <w:b/>
                <w:color w:val="000000"/>
                <w:sz w:val="20"/>
              </w:rPr>
              <w:t>Categoría OWASP 2021</w:t>
            </w:r>
          </w:p>
        </w:tc>
        <w:tc>
          <w:tcPr>
            <w:tcW w:type="dxa" w:w="2592"/>
            <w:shd w:val="clear" w:color="auto" w:fill="D0D0D0"/>
          </w:tcPr>
          <w:p>
            <w:pPr>
              <w:spacing w:before="40" w:after="40"/>
              <w:jc w:val="left"/>
            </w:pPr>
            <w:r/>
            <w:r>
              <w:rPr>
                <w:rFonts w:ascii="Times New Roman" w:hAnsi="Times New Roman"/>
                <w:b/>
                <w:color w:val="000000"/>
                <w:sz w:val="20"/>
              </w:rPr>
              <w:t>Descripción</w:t>
            </w:r>
          </w:p>
        </w:tc>
        <w:tc>
          <w:tcPr>
            <w:tcW w:type="dxa" w:w="1296"/>
            <w:shd w:val="clear" w:color="auto" w:fill="D0D0D0"/>
          </w:tcPr>
          <w:p>
            <w:pPr>
              <w:spacing w:before="40" w:after="40"/>
              <w:jc w:val="left"/>
            </w:pPr>
            <w:r/>
            <w:r>
              <w:rPr>
                <w:rFonts w:ascii="Times New Roman" w:hAnsi="Times New Roman"/>
                <w:b/>
                <w:color w:val="000000"/>
                <w:sz w:val="20"/>
              </w:rPr>
              <w:t>Hallazgos</w:t>
            </w:r>
          </w:p>
        </w:tc>
        <w:tc>
          <w:tcPr>
            <w:tcW w:type="dxa" w:w="1152"/>
            <w:shd w:val="clear" w:color="auto" w:fill="D0D0D0"/>
          </w:tcPr>
          <w:p>
            <w:pPr>
              <w:spacing w:before="40" w:after="40"/>
              <w:jc w:val="left"/>
            </w:pPr>
            <w:r/>
            <w:r>
              <w:rPr>
                <w:rFonts w:ascii="Times New Roman" w:hAnsi="Times New Roman"/>
                <w:b/>
                <w:color w:val="000000"/>
                <w:sz w:val="20"/>
              </w:rPr>
              <w:t>Estado</w:t>
            </w:r>
          </w:p>
        </w:tc>
      </w:tr>
      <w:tr>
        <w:tc>
          <w:tcPr>
            <w:tcW w:type="dxa" w:w="3168"/>
          </w:tcPr>
          <w:p>
            <w:pPr>
              <w:spacing w:before="40" w:after="40"/>
              <w:jc w:val="left"/>
            </w:pPr>
            <w:r/>
            <w:r>
              <w:rPr>
                <w:rFonts w:ascii="Times New Roman" w:hAnsi="Times New Roman"/>
                <w:b w:val="0"/>
                <w:color w:val="000000"/>
                <w:sz w:val="20"/>
              </w:rPr>
              <w:t>A01:2021 — Broken Access Control</w:t>
            </w:r>
          </w:p>
        </w:tc>
        <w:tc>
          <w:tcPr>
            <w:tcW w:type="dxa" w:w="2592"/>
          </w:tcPr>
          <w:p>
            <w:pPr>
              <w:spacing w:before="40" w:after="40"/>
              <w:jc w:val="left"/>
            </w:pPr>
            <w:r/>
            <w:r>
              <w:rPr>
                <w:rFonts w:ascii="Times New Roman" w:hAnsi="Times New Roman"/>
                <w:b w:val="0"/>
                <w:color w:val="000000"/>
                <w:sz w:val="20"/>
              </w:rPr>
              <w:t>Control de acceso RBAC</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A02:2021 — Cryptographic Failures</w:t>
            </w:r>
          </w:p>
        </w:tc>
        <w:tc>
          <w:tcPr>
            <w:tcW w:type="dxa" w:w="2592"/>
          </w:tcPr>
          <w:p>
            <w:pPr>
              <w:spacing w:before="40" w:after="40"/>
              <w:jc w:val="left"/>
            </w:pPr>
            <w:r/>
            <w:r>
              <w:rPr>
                <w:rFonts w:ascii="Times New Roman" w:hAnsi="Times New Roman"/>
                <w:b w:val="0"/>
                <w:color w:val="000000"/>
                <w:sz w:val="20"/>
              </w:rPr>
              <w:t>TLS 1.3, SHA-256 blockchain</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A03:2021 — Injection</w:t>
            </w:r>
          </w:p>
        </w:tc>
        <w:tc>
          <w:tcPr>
            <w:tcW w:type="dxa" w:w="2592"/>
          </w:tcPr>
          <w:p>
            <w:pPr>
              <w:spacing w:before="40" w:after="40"/>
              <w:jc w:val="left"/>
            </w:pPr>
            <w:r/>
            <w:r>
              <w:rPr>
                <w:rFonts w:ascii="Times New Roman" w:hAnsi="Times New Roman"/>
                <w:b w:val="0"/>
                <w:color w:val="000000"/>
                <w:sz w:val="20"/>
              </w:rPr>
              <w:t>SQL/NoSQL injection, XSS</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A04:2021 — Insecure Design</w:t>
            </w:r>
          </w:p>
        </w:tc>
        <w:tc>
          <w:tcPr>
            <w:tcW w:type="dxa" w:w="2592"/>
          </w:tcPr>
          <w:p>
            <w:pPr>
              <w:spacing w:before="40" w:after="40"/>
              <w:jc w:val="left"/>
            </w:pPr>
            <w:r/>
            <w:r>
              <w:rPr>
                <w:rFonts w:ascii="Times New Roman" w:hAnsi="Times New Roman"/>
                <w:b w:val="0"/>
                <w:color w:val="000000"/>
                <w:sz w:val="20"/>
              </w:rPr>
              <w:t>Diseño de autenticación JWT</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A05:2021 — Security Misconfiguration</w:t>
            </w:r>
          </w:p>
        </w:tc>
        <w:tc>
          <w:tcPr>
            <w:tcW w:type="dxa" w:w="2592"/>
          </w:tcPr>
          <w:p>
            <w:pPr>
              <w:spacing w:before="40" w:after="40"/>
              <w:jc w:val="left"/>
            </w:pPr>
            <w:r/>
            <w:r>
              <w:rPr>
                <w:rFonts w:ascii="Times New Roman" w:hAnsi="Times New Roman"/>
                <w:b w:val="0"/>
                <w:color w:val="000000"/>
                <w:sz w:val="20"/>
              </w:rPr>
              <w:t>Headers HTTP de seguridad</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A06:2021 — Vulnerable Components</w:t>
            </w:r>
          </w:p>
        </w:tc>
        <w:tc>
          <w:tcPr>
            <w:tcW w:type="dxa" w:w="2592"/>
          </w:tcPr>
          <w:p>
            <w:pPr>
              <w:spacing w:before="40" w:after="40"/>
              <w:jc w:val="left"/>
            </w:pPr>
            <w:r/>
            <w:r>
              <w:rPr>
                <w:rFonts w:ascii="Times New Roman" w:hAnsi="Times New Roman"/>
                <w:b w:val="0"/>
                <w:color w:val="000000"/>
                <w:sz w:val="20"/>
              </w:rPr>
              <w:t>Dependencias npm auditadas</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A07:2021 — Auth &amp; Session Mgmt</w:t>
            </w:r>
          </w:p>
        </w:tc>
        <w:tc>
          <w:tcPr>
            <w:tcW w:type="dxa" w:w="2592"/>
          </w:tcPr>
          <w:p>
            <w:pPr>
              <w:spacing w:before="40" w:after="40"/>
              <w:jc w:val="left"/>
            </w:pPr>
            <w:r/>
            <w:r>
              <w:rPr>
                <w:rFonts w:ascii="Times New Roman" w:hAnsi="Times New Roman"/>
                <w:b w:val="0"/>
                <w:color w:val="000000"/>
                <w:sz w:val="20"/>
              </w:rPr>
              <w:t>Manejo de tokens JWT</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A08:2021 — Integrity Failures</w:t>
            </w:r>
          </w:p>
        </w:tc>
        <w:tc>
          <w:tcPr>
            <w:tcW w:type="dxa" w:w="2592"/>
          </w:tcPr>
          <w:p>
            <w:pPr>
              <w:spacing w:before="40" w:after="40"/>
              <w:jc w:val="left"/>
            </w:pPr>
            <w:r/>
            <w:r>
              <w:rPr>
                <w:rFonts w:ascii="Times New Roman" w:hAnsi="Times New Roman"/>
                <w:b w:val="0"/>
                <w:color w:val="000000"/>
                <w:sz w:val="20"/>
              </w:rPr>
              <w:t>Firma digital blockchain</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A09:2021 — Logging Failures</w:t>
            </w:r>
          </w:p>
        </w:tc>
        <w:tc>
          <w:tcPr>
            <w:tcW w:type="dxa" w:w="2592"/>
          </w:tcPr>
          <w:p>
            <w:pPr>
              <w:spacing w:before="40" w:after="40"/>
              <w:jc w:val="left"/>
            </w:pPr>
            <w:r/>
            <w:r>
              <w:rPr>
                <w:rFonts w:ascii="Times New Roman" w:hAnsi="Times New Roman"/>
                <w:b w:val="0"/>
                <w:color w:val="000000"/>
                <w:sz w:val="20"/>
              </w:rPr>
              <w:t>Logs de acceso y errores</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A10:2021 — SSRF</w:t>
            </w:r>
          </w:p>
        </w:tc>
        <w:tc>
          <w:tcPr>
            <w:tcW w:type="dxa" w:w="2592"/>
          </w:tcPr>
          <w:p>
            <w:pPr>
              <w:spacing w:before="40" w:after="40"/>
              <w:jc w:val="left"/>
            </w:pPr>
            <w:r/>
            <w:r>
              <w:rPr>
                <w:rFonts w:ascii="Times New Roman" w:hAnsi="Times New Roman"/>
                <w:b w:val="0"/>
                <w:color w:val="000000"/>
                <w:sz w:val="20"/>
              </w:rPr>
              <w:t>Solicitudes a servicios externos</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SEGURO</w:t>
            </w:r>
          </w:p>
        </w:tc>
      </w:tr>
      <w:tr>
        <w:tc>
          <w:tcPr>
            <w:tcW w:type="dxa" w:w="3168"/>
          </w:tcPr>
          <w:p>
            <w:pPr>
              <w:spacing w:before="40" w:after="40"/>
              <w:jc w:val="left"/>
            </w:pPr>
            <w:r/>
            <w:r>
              <w:rPr>
                <w:rFonts w:ascii="Times New Roman" w:hAnsi="Times New Roman"/>
                <w:b w:val="0"/>
                <w:color w:val="000000"/>
                <w:sz w:val="20"/>
              </w:rPr>
              <w:t>Total vulnerabilidades críticas</w:t>
            </w:r>
          </w:p>
        </w:tc>
        <w:tc>
          <w:tcPr>
            <w:tcW w:type="dxa" w:w="2592"/>
          </w:tcPr>
          <w:p>
            <w:pPr>
              <w:spacing w:before="40" w:after="40"/>
              <w:jc w:val="left"/>
            </w:pPr>
            <w:r/>
            <w:r>
              <w:rPr>
                <w:rFonts w:ascii="Times New Roman" w:hAnsi="Times New Roman"/>
                <w:b w:val="0"/>
                <w:color w:val="000000"/>
                <w:sz w:val="20"/>
              </w:rPr>
              <w:t>—</w:t>
            </w:r>
          </w:p>
        </w:tc>
        <w:tc>
          <w:tcPr>
            <w:tcW w:type="dxa" w:w="1296"/>
          </w:tcPr>
          <w:p>
            <w:pPr>
              <w:spacing w:before="40" w:after="40"/>
              <w:jc w:val="left"/>
            </w:pPr>
            <w:r/>
            <w:r>
              <w:rPr>
                <w:rFonts w:ascii="Times New Roman" w:hAnsi="Times New Roman"/>
                <w:b w:val="0"/>
                <w:color w:val="000000"/>
                <w:sz w:val="20"/>
              </w:rPr>
              <w:t>0</w:t>
            </w:r>
          </w:p>
        </w:tc>
        <w:tc>
          <w:tcPr>
            <w:tcW w:type="dxa" w:w="1152"/>
          </w:tcPr>
          <w:p>
            <w:pPr>
              <w:spacing w:before="40" w:after="40"/>
              <w:jc w:val="left"/>
            </w:pPr>
            <w:r/>
            <w:r>
              <w:rPr>
                <w:rFonts w:ascii="Times New Roman" w:hAnsi="Times New Roman"/>
                <w:b w:val="0"/>
                <w:color w:val="000000"/>
                <w:sz w:val="20"/>
              </w:rPr>
              <w:t>CUMPLE (meta: 0)</w:t>
            </w:r>
          </w:p>
        </w:tc>
      </w:tr>
    </w:tbl>
    <w:p>
      <w:pPr>
        <w:spacing w:line="480" w:lineRule="auto"/>
      </w:pPr>
      <w:r>
        <w:rPr>
          <w:rFonts w:ascii="Times New Roman" w:hAnsi="Times New Roman"/>
          <w:b w:val="0"/>
          <w:i/>
          <w:color w:val="000000"/>
          <w:sz w:val="24"/>
        </w:rPr>
        <w:t xml:space="preserve">Nota. </w:t>
      </w:r>
      <w:r>
        <w:rPr>
          <w:rFonts w:ascii="Times New Roman" w:hAnsi="Times New Roman"/>
          <w:b w:val="0"/>
          <w:i w:val="0"/>
          <w:color w:val="000000"/>
          <w:sz w:val="24"/>
        </w:rPr>
        <w:t>El análisis se ejecutó con OWASP ZAP 2.14 (OWASP, 2021) sobre el entorno de producción (Azure App Service) y complementado con auditoría manual de código.</w:t>
      </w:r>
    </w:p>
    <w:p>
      <w:pPr>
        <w:spacing w:line="480" w:lineRule="auto" w:before="0" w:after="0"/>
        <w:jc w:val="center"/>
      </w:pPr>
      <w:r>
        <w:rPr>
          <w:rFonts w:ascii="Times New Roman" w:hAnsi="Times New Roman"/>
          <w:b/>
          <w:i w:val="0"/>
          <w:color w:val="000000"/>
          <w:sz w:val="24"/>
        </w:rPr>
        <w:t>4. Resultados de Usabilidad</w:t>
      </w:r>
    </w:p>
    <w:p>
      <w:pPr>
        <w:spacing w:line="480" w:lineRule="auto" w:before="0" w:after="0"/>
        <w:jc w:val="left"/>
      </w:pPr>
      <w:r>
        <w:rPr>
          <w:rFonts w:ascii="Times New Roman" w:hAnsi="Times New Roman"/>
          <w:b/>
          <w:i w:val="0"/>
          <w:color w:val="000000"/>
          <w:sz w:val="24"/>
        </w:rPr>
        <w:t>4.1 Encuesta SUS</w:t>
      </w:r>
    </w:p>
    <w:p>
      <w:pPr>
        <w:spacing w:line="480" w:lineRule="auto" w:before="0" w:after="0"/>
        <w:ind w:firstLine="720"/>
        <w:jc w:val="left"/>
      </w:pPr>
      <w:r>
        <w:rPr>
          <w:rFonts w:ascii="Times New Roman" w:hAnsi="Times New Roman"/>
          <w:b w:val="0"/>
          <w:i w:val="0"/>
          <w:color w:val="000000"/>
          <w:sz w:val="24"/>
        </w:rPr>
        <w:t>La encuesta SUS fue administrada a 15 usuarios finales (8 docentes, 4 coordinadores académicos, 3 administradores) inmediatamente después de completar una serie de tareas predefinidas. La Tabla 3 presenta los resultados agregados.</w:t>
      </w:r>
    </w:p>
    <w:p>
      <w:pPr>
        <w:spacing w:line="480" w:lineRule="auto" w:before="0" w:after="0"/>
        <w:jc w:val="left"/>
      </w:pPr>
    </w:p>
    <w:p>
      <w:pPr>
        <w:spacing w:line="480" w:lineRule="auto"/>
        <w:jc w:val="center"/>
      </w:pPr>
      <w:r>
        <w:rPr>
          <w:rFonts w:ascii="Times New Roman" w:hAnsi="Times New Roman"/>
          <w:b w:val="0"/>
          <w:i w:val="0"/>
          <w:color w:val="000000"/>
          <w:sz w:val="24"/>
        </w:rPr>
        <w:t>Tabla 3</w:t>
      </w:r>
    </w:p>
    <w:p>
      <w:pPr>
        <w:spacing w:line="480" w:lineRule="auto"/>
        <w:jc w:val="left"/>
      </w:pPr>
      <w:r>
        <w:rPr>
          <w:rFonts w:ascii="Times New Roman" w:hAnsi="Times New Roman"/>
          <w:b w:val="0"/>
          <w:i/>
          <w:color w:val="000000"/>
          <w:sz w:val="24"/>
        </w:rPr>
        <w:t>Resultados de Encuesta SUS — SilaDocs v1.0 (n = 15; Brooke, 1996)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600"/>
            <w:shd w:val="clear" w:color="auto" w:fill="D0D0D0"/>
          </w:tcPr>
          <w:p>
            <w:pPr>
              <w:spacing w:before="40" w:after="40"/>
              <w:jc w:val="left"/>
            </w:pPr>
            <w:r/>
            <w:r>
              <w:rPr>
                <w:rFonts w:ascii="Times New Roman" w:hAnsi="Times New Roman"/>
                <w:b/>
                <w:color w:val="000000"/>
                <w:sz w:val="20"/>
              </w:rPr>
              <w:t>Métrica</w:t>
            </w:r>
          </w:p>
        </w:tc>
        <w:tc>
          <w:tcPr>
            <w:tcW w:type="dxa" w:w="1872"/>
            <w:shd w:val="clear" w:color="auto" w:fill="D0D0D0"/>
          </w:tcPr>
          <w:p>
            <w:pPr>
              <w:spacing w:before="40" w:after="40"/>
              <w:jc w:val="left"/>
            </w:pPr>
            <w:r/>
            <w:r>
              <w:rPr>
                <w:rFonts w:ascii="Times New Roman" w:hAnsi="Times New Roman"/>
                <w:b/>
                <w:color w:val="000000"/>
                <w:sz w:val="20"/>
              </w:rPr>
              <w:t>Resultado</w:t>
            </w:r>
          </w:p>
        </w:tc>
        <w:tc>
          <w:tcPr>
            <w:tcW w:type="dxa" w:w="1872"/>
            <w:shd w:val="clear" w:color="auto" w:fill="D0D0D0"/>
          </w:tcPr>
          <w:p>
            <w:pPr>
              <w:spacing w:before="40" w:after="40"/>
              <w:jc w:val="left"/>
            </w:pPr>
            <w:r/>
            <w:r>
              <w:rPr>
                <w:rFonts w:ascii="Times New Roman" w:hAnsi="Times New Roman"/>
                <w:b/>
                <w:color w:val="000000"/>
                <w:sz w:val="20"/>
              </w:rPr>
              <w:t>Umbral</w:t>
            </w:r>
          </w:p>
        </w:tc>
        <w:tc>
          <w:tcPr>
            <w:tcW w:type="dxa" w:w="2304"/>
            <w:shd w:val="clear" w:color="auto" w:fill="D0D0D0"/>
          </w:tcPr>
          <w:p>
            <w:pPr>
              <w:spacing w:before="40" w:after="40"/>
              <w:jc w:val="left"/>
            </w:pPr>
            <w:r/>
            <w:r>
              <w:rPr>
                <w:rFonts w:ascii="Times New Roman" w:hAnsi="Times New Roman"/>
                <w:b/>
                <w:color w:val="000000"/>
                <w:sz w:val="20"/>
              </w:rPr>
              <w:t>Estado</w:t>
            </w:r>
          </w:p>
        </w:tc>
      </w:tr>
      <w:tr>
        <w:tc>
          <w:tcPr>
            <w:tcW w:type="dxa" w:w="3600"/>
          </w:tcPr>
          <w:p>
            <w:pPr>
              <w:spacing w:before="40" w:after="40"/>
              <w:jc w:val="left"/>
            </w:pPr>
            <w:r/>
            <w:r>
              <w:rPr>
                <w:rFonts w:ascii="Times New Roman" w:hAnsi="Times New Roman"/>
                <w:b w:val="0"/>
                <w:color w:val="000000"/>
                <w:sz w:val="20"/>
              </w:rPr>
              <w:t>Puntaje SUS promedio (/100)</w:t>
            </w:r>
          </w:p>
        </w:tc>
        <w:tc>
          <w:tcPr>
            <w:tcW w:type="dxa" w:w="1872"/>
          </w:tcPr>
          <w:p>
            <w:pPr>
              <w:spacing w:before="40" w:after="40"/>
              <w:jc w:val="left"/>
            </w:pPr>
            <w:r/>
            <w:r>
              <w:rPr>
                <w:rFonts w:ascii="Times New Roman" w:hAnsi="Times New Roman"/>
                <w:b w:val="0"/>
                <w:color w:val="000000"/>
                <w:sz w:val="20"/>
              </w:rPr>
              <w:t>76.5</w:t>
            </w:r>
          </w:p>
        </w:tc>
        <w:tc>
          <w:tcPr>
            <w:tcW w:type="dxa" w:w="1872"/>
          </w:tcPr>
          <w:p>
            <w:pPr>
              <w:spacing w:before="40" w:after="40"/>
              <w:jc w:val="left"/>
            </w:pPr>
            <w:r/>
            <w:r>
              <w:rPr>
                <w:rFonts w:ascii="Times New Roman" w:hAnsi="Times New Roman"/>
                <w:b w:val="0"/>
                <w:color w:val="000000"/>
                <w:sz w:val="20"/>
              </w:rPr>
              <w:t>&gt; 70</w:t>
            </w:r>
          </w:p>
        </w:tc>
        <w:tc>
          <w:tcPr>
            <w:tcW w:type="dxa" w:w="2304"/>
          </w:tcPr>
          <w:p>
            <w:pPr>
              <w:spacing w:before="40" w:after="40"/>
              <w:jc w:val="left"/>
            </w:pPr>
            <w:r/>
            <w:r>
              <w:rPr>
                <w:rFonts w:ascii="Times New Roman" w:hAnsi="Times New Roman"/>
                <w:b w:val="0"/>
                <w:color w:val="000000"/>
                <w:sz w:val="20"/>
              </w:rPr>
              <w:t>CUMPLE (Buena)</w:t>
            </w:r>
          </w:p>
        </w:tc>
      </w:tr>
      <w:tr>
        <w:tc>
          <w:tcPr>
            <w:tcW w:type="dxa" w:w="3600"/>
          </w:tcPr>
          <w:p>
            <w:pPr>
              <w:spacing w:before="40" w:after="40"/>
              <w:jc w:val="left"/>
            </w:pPr>
            <w:r/>
            <w:r>
              <w:rPr>
                <w:rFonts w:ascii="Times New Roman" w:hAnsi="Times New Roman"/>
                <w:b w:val="0"/>
                <w:color w:val="000000"/>
                <w:sz w:val="20"/>
              </w:rPr>
              <w:t>Desviación estándar (DS)</w:t>
            </w:r>
          </w:p>
        </w:tc>
        <w:tc>
          <w:tcPr>
            <w:tcW w:type="dxa" w:w="1872"/>
          </w:tcPr>
          <w:p>
            <w:pPr>
              <w:spacing w:before="40" w:after="40"/>
              <w:jc w:val="left"/>
            </w:pPr>
            <w:r/>
            <w:r>
              <w:rPr>
                <w:rFonts w:ascii="Times New Roman" w:hAnsi="Times New Roman"/>
                <w:b w:val="0"/>
                <w:color w:val="000000"/>
                <w:sz w:val="20"/>
              </w:rPr>
              <w:t>8.2</w:t>
            </w:r>
          </w:p>
        </w:tc>
        <w:tc>
          <w:tcPr>
            <w:tcW w:type="dxa" w:w="1872"/>
          </w:tcPr>
          <w:p>
            <w:pPr>
              <w:spacing w:before="40" w:after="40"/>
              <w:jc w:val="left"/>
            </w:pPr>
            <w:r/>
            <w:r>
              <w:rPr>
                <w:rFonts w:ascii="Times New Roman" w:hAnsi="Times New Roman"/>
                <w:b w:val="0"/>
                <w:color w:val="000000"/>
                <w:sz w:val="20"/>
              </w:rPr>
              <w:t>&lt; 15</w:t>
            </w:r>
          </w:p>
        </w:tc>
        <w:tc>
          <w:tcPr>
            <w:tcW w:type="dxa" w:w="2304"/>
          </w:tcPr>
          <w:p>
            <w:pPr>
              <w:spacing w:before="40" w:after="40"/>
              <w:jc w:val="left"/>
            </w:pPr>
            <w:r/>
            <w:r>
              <w:rPr>
                <w:rFonts w:ascii="Times New Roman" w:hAnsi="Times New Roman"/>
                <w:b w:val="0"/>
                <w:color w:val="000000"/>
                <w:sz w:val="20"/>
              </w:rPr>
              <w:t>CUMPLE</w:t>
            </w:r>
          </w:p>
        </w:tc>
      </w:tr>
      <w:tr>
        <w:tc>
          <w:tcPr>
            <w:tcW w:type="dxa" w:w="3600"/>
          </w:tcPr>
          <w:p>
            <w:pPr>
              <w:spacing w:before="40" w:after="40"/>
              <w:jc w:val="left"/>
            </w:pPr>
            <w:r/>
            <w:r>
              <w:rPr>
                <w:rFonts w:ascii="Times New Roman" w:hAnsi="Times New Roman"/>
                <w:b w:val="0"/>
                <w:color w:val="000000"/>
                <w:sz w:val="20"/>
              </w:rPr>
              <w:t>Mínimo / Máximo</w:t>
            </w:r>
          </w:p>
        </w:tc>
        <w:tc>
          <w:tcPr>
            <w:tcW w:type="dxa" w:w="1872"/>
          </w:tcPr>
          <w:p>
            <w:pPr>
              <w:spacing w:before="40" w:after="40"/>
              <w:jc w:val="left"/>
            </w:pPr>
            <w:r/>
            <w:r>
              <w:rPr>
                <w:rFonts w:ascii="Times New Roman" w:hAnsi="Times New Roman"/>
                <w:b w:val="0"/>
                <w:color w:val="000000"/>
                <w:sz w:val="20"/>
              </w:rPr>
              <w:t>60.0 / 90.0</w:t>
            </w:r>
          </w:p>
        </w:tc>
        <w:tc>
          <w:tcPr>
            <w:tcW w:type="dxa" w:w="1872"/>
          </w:tcPr>
          <w:p>
            <w:pPr>
              <w:spacing w:before="40" w:after="40"/>
              <w:jc w:val="left"/>
            </w:pPr>
            <w:r/>
            <w:r>
              <w:rPr>
                <w:rFonts w:ascii="Times New Roman" w:hAnsi="Times New Roman"/>
                <w:b w:val="0"/>
                <w:color w:val="000000"/>
                <w:sz w:val="20"/>
              </w:rPr>
              <w:t>—</w:t>
            </w:r>
          </w:p>
        </w:tc>
        <w:tc>
          <w:tcPr>
            <w:tcW w:type="dxa" w:w="2304"/>
          </w:tcPr>
          <w:p>
            <w:pPr>
              <w:spacing w:before="40" w:after="40"/>
              <w:jc w:val="left"/>
            </w:pPr>
            <w:r/>
            <w:r>
              <w:rPr>
                <w:rFonts w:ascii="Times New Roman" w:hAnsi="Times New Roman"/>
                <w:b w:val="0"/>
                <w:color w:val="000000"/>
                <w:sz w:val="20"/>
              </w:rPr>
              <w:t>Rango aceptable</w:t>
            </w:r>
          </w:p>
        </w:tc>
      </w:tr>
      <w:tr>
        <w:tc>
          <w:tcPr>
            <w:tcW w:type="dxa" w:w="3600"/>
          </w:tcPr>
          <w:p>
            <w:pPr>
              <w:spacing w:before="40" w:after="40"/>
              <w:jc w:val="left"/>
            </w:pPr>
            <w:r/>
            <w:r>
              <w:rPr>
                <w:rFonts w:ascii="Times New Roman" w:hAnsi="Times New Roman"/>
                <w:b w:val="0"/>
                <w:color w:val="000000"/>
                <w:sz w:val="20"/>
              </w:rPr>
              <w:t>% usuarios ≥ 70 puntos</w:t>
            </w:r>
          </w:p>
        </w:tc>
        <w:tc>
          <w:tcPr>
            <w:tcW w:type="dxa" w:w="1872"/>
          </w:tcPr>
          <w:p>
            <w:pPr>
              <w:spacing w:before="40" w:after="40"/>
              <w:jc w:val="left"/>
            </w:pPr>
            <w:r/>
            <w:r>
              <w:rPr>
                <w:rFonts w:ascii="Times New Roman" w:hAnsi="Times New Roman"/>
                <w:b w:val="0"/>
                <w:color w:val="000000"/>
                <w:sz w:val="20"/>
              </w:rPr>
              <w:t>80%</w:t>
            </w:r>
          </w:p>
        </w:tc>
        <w:tc>
          <w:tcPr>
            <w:tcW w:type="dxa" w:w="1872"/>
          </w:tcPr>
          <w:p>
            <w:pPr>
              <w:spacing w:before="40" w:after="40"/>
              <w:jc w:val="left"/>
            </w:pPr>
            <w:r/>
            <w:r>
              <w:rPr>
                <w:rFonts w:ascii="Times New Roman" w:hAnsi="Times New Roman"/>
                <w:b w:val="0"/>
                <w:color w:val="000000"/>
                <w:sz w:val="20"/>
              </w:rPr>
              <w:t>≥ 70%</w:t>
            </w:r>
          </w:p>
        </w:tc>
        <w:tc>
          <w:tcPr>
            <w:tcW w:type="dxa" w:w="2304"/>
          </w:tcPr>
          <w:p>
            <w:pPr>
              <w:spacing w:before="40" w:after="40"/>
              <w:jc w:val="left"/>
            </w:pPr>
            <w:r/>
            <w:r>
              <w:rPr>
                <w:rFonts w:ascii="Times New Roman" w:hAnsi="Times New Roman"/>
                <w:b w:val="0"/>
                <w:color w:val="000000"/>
                <w:sz w:val="20"/>
              </w:rPr>
              <w:t>CUMPLE</w:t>
            </w:r>
          </w:p>
        </w:tc>
      </w:tr>
      <w:tr>
        <w:tc>
          <w:tcPr>
            <w:tcW w:type="dxa" w:w="3600"/>
          </w:tcPr>
          <w:p>
            <w:pPr>
              <w:spacing w:before="40" w:after="40"/>
              <w:jc w:val="left"/>
            </w:pPr>
            <w:r/>
            <w:r>
              <w:rPr>
                <w:rFonts w:ascii="Times New Roman" w:hAnsi="Times New Roman"/>
                <w:b w:val="0"/>
                <w:color w:val="000000"/>
                <w:sz w:val="20"/>
              </w:rPr>
              <w:t>Clasificación adjuntiva</w:t>
            </w:r>
          </w:p>
        </w:tc>
        <w:tc>
          <w:tcPr>
            <w:tcW w:type="dxa" w:w="1872"/>
          </w:tcPr>
          <w:p>
            <w:pPr>
              <w:spacing w:before="40" w:after="40"/>
              <w:jc w:val="left"/>
            </w:pPr>
            <w:r/>
            <w:r>
              <w:rPr>
                <w:rFonts w:ascii="Times New Roman" w:hAnsi="Times New Roman"/>
                <w:b w:val="0"/>
                <w:color w:val="000000"/>
                <w:sz w:val="20"/>
              </w:rPr>
              <w:t>Buena (Good)</w:t>
            </w:r>
          </w:p>
        </w:tc>
        <w:tc>
          <w:tcPr>
            <w:tcW w:type="dxa" w:w="1872"/>
          </w:tcPr>
          <w:p>
            <w:pPr>
              <w:spacing w:before="40" w:after="40"/>
              <w:jc w:val="left"/>
            </w:pPr>
            <w:r/>
            <w:r>
              <w:rPr>
                <w:rFonts w:ascii="Times New Roman" w:hAnsi="Times New Roman"/>
                <w:b w:val="0"/>
                <w:color w:val="000000"/>
                <w:sz w:val="20"/>
              </w:rPr>
              <w:t>Aceptable</w:t>
            </w:r>
          </w:p>
        </w:tc>
        <w:tc>
          <w:tcPr>
            <w:tcW w:type="dxa" w:w="2304"/>
          </w:tcPr>
          <w:p>
            <w:pPr>
              <w:spacing w:before="40" w:after="40"/>
              <w:jc w:val="left"/>
            </w:pPr>
            <w:r/>
            <w:r>
              <w:rPr>
                <w:rFonts w:ascii="Times New Roman" w:hAnsi="Times New Roman"/>
                <w:b w:val="0"/>
                <w:color w:val="000000"/>
                <w:sz w:val="20"/>
              </w:rPr>
              <w:t>CUMPLE (Bangor et al., 2008)</w:t>
            </w:r>
          </w:p>
        </w:tc>
      </w:tr>
      <w:tr>
        <w:tc>
          <w:tcPr>
            <w:tcW w:type="dxa" w:w="3600"/>
          </w:tcPr>
          <w:p>
            <w:pPr>
              <w:spacing w:before="40" w:after="40"/>
              <w:jc w:val="left"/>
            </w:pPr>
            <w:r/>
            <w:r>
              <w:rPr>
                <w:rFonts w:ascii="Times New Roman" w:hAnsi="Times New Roman"/>
                <w:b w:val="0"/>
                <w:color w:val="000000"/>
                <w:sz w:val="20"/>
              </w:rPr>
              <w:t>NPS (Net Promoter Score)</w:t>
            </w:r>
          </w:p>
        </w:tc>
        <w:tc>
          <w:tcPr>
            <w:tcW w:type="dxa" w:w="1872"/>
          </w:tcPr>
          <w:p>
            <w:pPr>
              <w:spacing w:before="40" w:after="40"/>
              <w:jc w:val="left"/>
            </w:pPr>
            <w:r/>
            <w:r>
              <w:rPr>
                <w:rFonts w:ascii="Times New Roman" w:hAnsi="Times New Roman"/>
                <w:b w:val="0"/>
                <w:color w:val="000000"/>
                <w:sz w:val="20"/>
              </w:rPr>
              <w:t>72</w:t>
            </w:r>
          </w:p>
        </w:tc>
        <w:tc>
          <w:tcPr>
            <w:tcW w:type="dxa" w:w="1872"/>
          </w:tcPr>
          <w:p>
            <w:pPr>
              <w:spacing w:before="40" w:after="40"/>
              <w:jc w:val="left"/>
            </w:pPr>
            <w:r/>
            <w:r>
              <w:rPr>
                <w:rFonts w:ascii="Times New Roman" w:hAnsi="Times New Roman"/>
                <w:b w:val="0"/>
                <w:color w:val="000000"/>
                <w:sz w:val="20"/>
              </w:rPr>
              <w:t>&gt; 50</w:t>
            </w:r>
          </w:p>
        </w:tc>
        <w:tc>
          <w:tcPr>
            <w:tcW w:type="dxa" w:w="2304"/>
          </w:tcPr>
          <w:p>
            <w:pPr>
              <w:spacing w:before="40" w:after="40"/>
              <w:jc w:val="left"/>
            </w:pPr>
            <w:r/>
            <w:r>
              <w:rPr>
                <w:rFonts w:ascii="Times New Roman" w:hAnsi="Times New Roman"/>
                <w:b w:val="0"/>
                <w:color w:val="000000"/>
                <w:sz w:val="20"/>
              </w:rPr>
              <w:t>CUMPLE (Excelente)</w:t>
            </w:r>
          </w:p>
        </w:tc>
      </w:tr>
    </w:tbl>
    <w:p>
      <w:pPr>
        <w:spacing w:line="480" w:lineRule="auto"/>
      </w:pPr>
      <w:r>
        <w:rPr>
          <w:rFonts w:ascii="Times New Roman" w:hAnsi="Times New Roman"/>
          <w:b w:val="0"/>
          <w:i/>
          <w:color w:val="000000"/>
          <w:sz w:val="24"/>
        </w:rPr>
        <w:t xml:space="preserve">Nota. </w:t>
      </w:r>
      <w:r>
        <w:rPr>
          <w:rFonts w:ascii="Times New Roman" w:hAnsi="Times New Roman"/>
          <w:b w:val="0"/>
          <w:i w:val="0"/>
          <w:color w:val="000000"/>
          <w:sz w:val="24"/>
        </w:rPr>
        <w:t>Clasificación adjuntiva SUS (Bangor et al., 2008): &lt; 51 = Inaceptable; 51–70 = Marginal; 71–85 = Buena; 86–100 = Excelente. NPS calculado con el método Net Promoter Score (Reichheld, 2003).</w:t>
      </w:r>
    </w:p>
    <w:p>
      <w:pPr>
        <w:spacing w:line="480" w:lineRule="auto" w:before="0" w:after="0"/>
        <w:jc w:val="left"/>
      </w:pPr>
      <w:r>
        <w:rPr>
          <w:rFonts w:ascii="Times New Roman" w:hAnsi="Times New Roman"/>
          <w:b/>
          <w:i w:val="0"/>
          <w:color w:val="000000"/>
          <w:sz w:val="24"/>
        </w:rPr>
        <w:t>4.2 Heurísticas de Nielsen</w:t>
      </w:r>
    </w:p>
    <w:p>
      <w:pPr>
        <w:spacing w:line="480" w:lineRule="auto" w:before="0" w:after="0"/>
        <w:ind w:firstLine="720"/>
        <w:jc w:val="left"/>
      </w:pPr>
      <w:r>
        <w:rPr>
          <w:rFonts w:ascii="Times New Roman" w:hAnsi="Times New Roman"/>
          <w:b w:val="0"/>
          <w:i w:val="0"/>
          <w:color w:val="000000"/>
          <w:sz w:val="24"/>
        </w:rPr>
        <w:t>Se realizó una inspección experta por dos evaluadores utilizando las 10 heurísticas de Nielsen (1994). Los resultados fueron los siguientes: 8 de 10 heurísticas obtuvieron calificación ≥ 4/5; las heurísticas "Ayuda y documentación" (H10) y "Reconocimiento sobre recuerdo" (H6) recibieron calificación 3/5, identificándose como áreas de mejora para futuras iteraciones.</w:t>
      </w:r>
    </w:p>
    <w:p>
      <w:pPr>
        <w:spacing w:line="480" w:lineRule="auto" w:before="0" w:after="0"/>
        <w:jc w:val="left"/>
      </w:pPr>
      <w:r>
        <w:rPr>
          <w:rFonts w:ascii="Times New Roman" w:hAnsi="Times New Roman"/>
          <w:b/>
          <w:i w:val="0"/>
          <w:color w:val="000000"/>
          <w:sz w:val="24"/>
        </w:rPr>
        <w:t>4.3 Tasa de Completitud de Tareas</w:t>
      </w:r>
    </w:p>
    <w:p>
      <w:pPr>
        <w:spacing w:line="480" w:lineRule="auto" w:before="0" w:after="0"/>
        <w:ind w:firstLine="720"/>
        <w:jc w:val="left"/>
      </w:pPr>
      <w:r>
        <w:rPr>
          <w:rFonts w:ascii="Times New Roman" w:hAnsi="Times New Roman"/>
          <w:b w:val="0"/>
          <w:i w:val="0"/>
          <w:color w:val="000000"/>
          <w:sz w:val="24"/>
        </w:rPr>
        <w:t>Los 15 participantes completaron 5 tareas predefinidas (registro de sílabo, consulta de trazabilidad, descarga de documento, verificación pública, gestión de perfil). La tasa de completitud promedio fue de 86.7% (meta: ≥ 80%, Nielsen, 1994), con un tiempo promedio de aprendizaje de 7.2 minutos (meta: &lt; 10 minutos).</w:t>
      </w:r>
    </w:p>
    <w:p>
      <w:pPr>
        <w:spacing w:line="480" w:lineRule="auto" w:before="0" w:after="0"/>
        <w:jc w:val="center"/>
      </w:pPr>
      <w:r>
        <w:rPr>
          <w:rFonts w:ascii="Times New Roman" w:hAnsi="Times New Roman"/>
          <w:b/>
          <w:i w:val="0"/>
          <w:color w:val="000000"/>
          <w:sz w:val="24"/>
        </w:rPr>
        <w:t>5. Resultados de Eficiencia de Desempeño</w:t>
      </w:r>
    </w:p>
    <w:p>
      <w:pPr>
        <w:spacing w:line="480" w:lineRule="auto" w:before="0" w:after="0"/>
        <w:ind w:firstLine="720"/>
        <w:jc w:val="left"/>
      </w:pPr>
      <w:r>
        <w:rPr>
          <w:rFonts w:ascii="Times New Roman" w:hAnsi="Times New Roman"/>
          <w:b w:val="0"/>
          <w:i w:val="0"/>
          <w:color w:val="000000"/>
          <w:sz w:val="24"/>
        </w:rPr>
        <w:t>Las pruebas de carga se ejecutaron con Apache JMeter 5.6 simulando 100, 500 y 1,000 usuarios concurrentes sobre el entorno de producción en Azure App Service. La Tabla 4 presenta los resultados.</w:t>
      </w:r>
    </w:p>
    <w:p>
      <w:pPr>
        <w:spacing w:line="480" w:lineRule="auto" w:before="0" w:after="0"/>
        <w:jc w:val="left"/>
      </w:pPr>
    </w:p>
    <w:p>
      <w:pPr>
        <w:spacing w:line="480" w:lineRule="auto"/>
        <w:jc w:val="center"/>
      </w:pPr>
      <w:r>
        <w:rPr>
          <w:rFonts w:ascii="Times New Roman" w:hAnsi="Times New Roman"/>
          <w:b w:val="0"/>
          <w:i w:val="0"/>
          <w:color w:val="000000"/>
          <w:sz w:val="24"/>
        </w:rPr>
        <w:t>Tabla 4</w:t>
      </w:r>
    </w:p>
    <w:p>
      <w:pPr>
        <w:spacing w:line="480" w:lineRule="auto"/>
        <w:jc w:val="left"/>
      </w:pPr>
      <w:r>
        <w:rPr>
          <w:rFonts w:ascii="Times New Roman" w:hAnsi="Times New Roman"/>
          <w:b w:val="0"/>
          <w:i/>
          <w:color w:val="000000"/>
          <w:sz w:val="24"/>
        </w:rPr>
        <w:t>Resultados de Pruebas de Carga (Apache JMeter 5.6)</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736"/>
            <w:shd w:val="clear" w:color="auto" w:fill="D0D0D0"/>
          </w:tcPr>
          <w:p>
            <w:pPr>
              <w:spacing w:before="40" w:after="40"/>
              <w:jc w:val="left"/>
            </w:pPr>
            <w:r/>
            <w:r>
              <w:rPr>
                <w:rFonts w:ascii="Times New Roman" w:hAnsi="Times New Roman"/>
                <w:b/>
                <w:color w:val="000000"/>
                <w:sz w:val="20"/>
              </w:rPr>
              <w:t>Métrica</w:t>
            </w:r>
          </w:p>
        </w:tc>
        <w:tc>
          <w:tcPr>
            <w:tcW w:type="dxa" w:w="1296"/>
            <w:shd w:val="clear" w:color="auto" w:fill="D0D0D0"/>
          </w:tcPr>
          <w:p>
            <w:pPr>
              <w:spacing w:before="40" w:after="40"/>
              <w:jc w:val="left"/>
            </w:pPr>
            <w:r/>
            <w:r>
              <w:rPr>
                <w:rFonts w:ascii="Times New Roman" w:hAnsi="Times New Roman"/>
                <w:b/>
                <w:color w:val="000000"/>
                <w:sz w:val="20"/>
              </w:rPr>
              <w:t>100 usuarios</w:t>
            </w:r>
          </w:p>
        </w:tc>
        <w:tc>
          <w:tcPr>
            <w:tcW w:type="dxa" w:w="1440"/>
            <w:shd w:val="clear" w:color="auto" w:fill="D0D0D0"/>
          </w:tcPr>
          <w:p>
            <w:pPr>
              <w:spacing w:before="40" w:after="40"/>
              <w:jc w:val="left"/>
            </w:pPr>
            <w:r/>
            <w:r>
              <w:rPr>
                <w:rFonts w:ascii="Times New Roman" w:hAnsi="Times New Roman"/>
                <w:b/>
                <w:color w:val="000000"/>
                <w:sz w:val="20"/>
              </w:rPr>
              <w:t>500 usuarios</w:t>
            </w:r>
          </w:p>
        </w:tc>
        <w:tc>
          <w:tcPr>
            <w:tcW w:type="dxa" w:w="1584"/>
            <w:shd w:val="clear" w:color="auto" w:fill="D0D0D0"/>
          </w:tcPr>
          <w:p>
            <w:pPr>
              <w:spacing w:before="40" w:after="40"/>
              <w:jc w:val="left"/>
            </w:pPr>
            <w:r/>
            <w:r>
              <w:rPr>
                <w:rFonts w:ascii="Times New Roman" w:hAnsi="Times New Roman"/>
                <w:b/>
                <w:color w:val="000000"/>
                <w:sz w:val="20"/>
              </w:rPr>
              <w:t>1,000 usuarios</w:t>
            </w:r>
          </w:p>
        </w:tc>
        <w:tc>
          <w:tcPr>
            <w:tcW w:type="dxa" w:w="1440"/>
            <w:shd w:val="clear" w:color="auto" w:fill="D0D0D0"/>
          </w:tcPr>
          <w:p>
            <w:pPr>
              <w:spacing w:before="40" w:after="40"/>
              <w:jc w:val="left"/>
            </w:pPr>
            <w:r/>
            <w:r>
              <w:rPr>
                <w:rFonts w:ascii="Times New Roman" w:hAnsi="Times New Roman"/>
                <w:b/>
                <w:color w:val="000000"/>
                <w:sz w:val="20"/>
              </w:rPr>
              <w:t>Meta</w:t>
            </w:r>
          </w:p>
        </w:tc>
      </w:tr>
      <w:tr>
        <w:tc>
          <w:tcPr>
            <w:tcW w:type="dxa" w:w="2736"/>
          </w:tcPr>
          <w:p>
            <w:pPr>
              <w:spacing w:before="40" w:after="40"/>
              <w:jc w:val="left"/>
            </w:pPr>
            <w:r/>
            <w:r>
              <w:rPr>
                <w:rFonts w:ascii="Times New Roman" w:hAnsi="Times New Roman"/>
                <w:b w:val="0"/>
                <w:color w:val="000000"/>
                <w:sz w:val="20"/>
              </w:rPr>
              <w:t>Latencia p50 (ms)</w:t>
            </w:r>
          </w:p>
        </w:tc>
        <w:tc>
          <w:tcPr>
            <w:tcW w:type="dxa" w:w="1296"/>
          </w:tcPr>
          <w:p>
            <w:pPr>
              <w:spacing w:before="40" w:after="40"/>
              <w:jc w:val="left"/>
            </w:pPr>
            <w:r/>
            <w:r>
              <w:rPr>
                <w:rFonts w:ascii="Times New Roman" w:hAnsi="Times New Roman"/>
                <w:b w:val="0"/>
                <w:color w:val="000000"/>
                <w:sz w:val="20"/>
              </w:rPr>
              <w:t>180</w:t>
            </w:r>
          </w:p>
        </w:tc>
        <w:tc>
          <w:tcPr>
            <w:tcW w:type="dxa" w:w="1440"/>
          </w:tcPr>
          <w:p>
            <w:pPr>
              <w:spacing w:before="40" w:after="40"/>
              <w:jc w:val="left"/>
            </w:pPr>
            <w:r/>
            <w:r>
              <w:rPr>
                <w:rFonts w:ascii="Times New Roman" w:hAnsi="Times New Roman"/>
                <w:b w:val="0"/>
                <w:color w:val="000000"/>
                <w:sz w:val="20"/>
              </w:rPr>
              <w:t>620</w:t>
            </w:r>
          </w:p>
        </w:tc>
        <w:tc>
          <w:tcPr>
            <w:tcW w:type="dxa" w:w="1584"/>
          </w:tcPr>
          <w:p>
            <w:pPr>
              <w:spacing w:before="40" w:after="40"/>
              <w:jc w:val="left"/>
            </w:pPr>
            <w:r/>
            <w:r>
              <w:rPr>
                <w:rFonts w:ascii="Times New Roman" w:hAnsi="Times New Roman"/>
                <w:b w:val="0"/>
                <w:color w:val="000000"/>
                <w:sz w:val="20"/>
              </w:rPr>
              <w:t>1,450</w:t>
            </w:r>
          </w:p>
        </w:tc>
        <w:tc>
          <w:tcPr>
            <w:tcW w:type="dxa" w:w="1440"/>
          </w:tcPr>
          <w:p>
            <w:pPr>
              <w:spacing w:before="40" w:after="40"/>
              <w:jc w:val="left"/>
            </w:pPr>
            <w:r/>
            <w:r>
              <w:rPr>
                <w:rFonts w:ascii="Times New Roman" w:hAnsi="Times New Roman"/>
                <w:b w:val="0"/>
                <w:color w:val="000000"/>
                <w:sz w:val="20"/>
              </w:rPr>
              <w:t>&lt; 1,000 ms</w:t>
            </w:r>
          </w:p>
        </w:tc>
      </w:tr>
      <w:tr>
        <w:tc>
          <w:tcPr>
            <w:tcW w:type="dxa" w:w="2736"/>
          </w:tcPr>
          <w:p>
            <w:pPr>
              <w:spacing w:before="40" w:after="40"/>
              <w:jc w:val="left"/>
            </w:pPr>
            <w:r/>
            <w:r>
              <w:rPr>
                <w:rFonts w:ascii="Times New Roman" w:hAnsi="Times New Roman"/>
                <w:b w:val="0"/>
                <w:color w:val="000000"/>
                <w:sz w:val="20"/>
              </w:rPr>
              <w:t>Latencia p95 (ms)</w:t>
            </w:r>
          </w:p>
        </w:tc>
        <w:tc>
          <w:tcPr>
            <w:tcW w:type="dxa" w:w="1296"/>
          </w:tcPr>
          <w:p>
            <w:pPr>
              <w:spacing w:before="40" w:after="40"/>
              <w:jc w:val="left"/>
            </w:pPr>
            <w:r/>
            <w:r>
              <w:rPr>
                <w:rFonts w:ascii="Times New Roman" w:hAnsi="Times New Roman"/>
                <w:b w:val="0"/>
                <w:color w:val="000000"/>
                <w:sz w:val="20"/>
              </w:rPr>
              <w:t>340</w:t>
            </w:r>
          </w:p>
        </w:tc>
        <w:tc>
          <w:tcPr>
            <w:tcW w:type="dxa" w:w="1440"/>
          </w:tcPr>
          <w:p>
            <w:pPr>
              <w:spacing w:before="40" w:after="40"/>
              <w:jc w:val="left"/>
            </w:pPr>
            <w:r/>
            <w:r>
              <w:rPr>
                <w:rFonts w:ascii="Times New Roman" w:hAnsi="Times New Roman"/>
                <w:b w:val="0"/>
                <w:color w:val="000000"/>
                <w:sz w:val="20"/>
              </w:rPr>
              <w:t>1,200</w:t>
            </w:r>
          </w:p>
        </w:tc>
        <w:tc>
          <w:tcPr>
            <w:tcW w:type="dxa" w:w="1584"/>
          </w:tcPr>
          <w:p>
            <w:pPr>
              <w:spacing w:before="40" w:after="40"/>
              <w:jc w:val="left"/>
            </w:pPr>
            <w:r/>
            <w:r>
              <w:rPr>
                <w:rFonts w:ascii="Times New Roman" w:hAnsi="Times New Roman"/>
                <w:b w:val="0"/>
                <w:color w:val="000000"/>
                <w:sz w:val="20"/>
              </w:rPr>
              <w:t>2,800</w:t>
            </w:r>
          </w:p>
        </w:tc>
        <w:tc>
          <w:tcPr>
            <w:tcW w:type="dxa" w:w="1440"/>
          </w:tcPr>
          <w:p>
            <w:pPr>
              <w:spacing w:before="40" w:after="40"/>
              <w:jc w:val="left"/>
            </w:pPr>
            <w:r/>
            <w:r>
              <w:rPr>
                <w:rFonts w:ascii="Times New Roman" w:hAnsi="Times New Roman"/>
                <w:b w:val="0"/>
                <w:color w:val="000000"/>
                <w:sz w:val="20"/>
              </w:rPr>
              <w:t>&lt; 2,000 ms</w:t>
            </w:r>
          </w:p>
        </w:tc>
      </w:tr>
      <w:tr>
        <w:tc>
          <w:tcPr>
            <w:tcW w:type="dxa" w:w="2736"/>
          </w:tcPr>
          <w:p>
            <w:pPr>
              <w:spacing w:before="40" w:after="40"/>
              <w:jc w:val="left"/>
            </w:pPr>
            <w:r/>
            <w:r>
              <w:rPr>
                <w:rFonts w:ascii="Times New Roman" w:hAnsi="Times New Roman"/>
                <w:b w:val="0"/>
                <w:color w:val="000000"/>
                <w:sz w:val="20"/>
              </w:rPr>
              <w:t>Latencia p99 (ms)</w:t>
            </w:r>
          </w:p>
        </w:tc>
        <w:tc>
          <w:tcPr>
            <w:tcW w:type="dxa" w:w="1296"/>
          </w:tcPr>
          <w:p>
            <w:pPr>
              <w:spacing w:before="40" w:after="40"/>
              <w:jc w:val="left"/>
            </w:pPr>
            <w:r/>
            <w:r>
              <w:rPr>
                <w:rFonts w:ascii="Times New Roman" w:hAnsi="Times New Roman"/>
                <w:b w:val="0"/>
                <w:color w:val="000000"/>
                <w:sz w:val="20"/>
              </w:rPr>
              <w:t>520</w:t>
            </w:r>
          </w:p>
        </w:tc>
        <w:tc>
          <w:tcPr>
            <w:tcW w:type="dxa" w:w="1440"/>
          </w:tcPr>
          <w:p>
            <w:pPr>
              <w:spacing w:before="40" w:after="40"/>
              <w:jc w:val="left"/>
            </w:pPr>
            <w:r/>
            <w:r>
              <w:rPr>
                <w:rFonts w:ascii="Times New Roman" w:hAnsi="Times New Roman"/>
                <w:b w:val="0"/>
                <w:color w:val="000000"/>
                <w:sz w:val="20"/>
              </w:rPr>
              <w:t>1,800</w:t>
            </w:r>
          </w:p>
        </w:tc>
        <w:tc>
          <w:tcPr>
            <w:tcW w:type="dxa" w:w="1584"/>
          </w:tcPr>
          <w:p>
            <w:pPr>
              <w:spacing w:before="40" w:after="40"/>
              <w:jc w:val="left"/>
            </w:pPr>
            <w:r/>
            <w:r>
              <w:rPr>
                <w:rFonts w:ascii="Times New Roman" w:hAnsi="Times New Roman"/>
                <w:b w:val="0"/>
                <w:color w:val="000000"/>
                <w:sz w:val="20"/>
              </w:rPr>
              <w:t>4,100</w:t>
            </w:r>
          </w:p>
        </w:tc>
        <w:tc>
          <w:tcPr>
            <w:tcW w:type="dxa" w:w="1440"/>
          </w:tcPr>
          <w:p>
            <w:pPr>
              <w:spacing w:before="40" w:after="40"/>
              <w:jc w:val="left"/>
            </w:pPr>
            <w:r/>
            <w:r>
              <w:rPr>
                <w:rFonts w:ascii="Times New Roman" w:hAnsi="Times New Roman"/>
                <w:b w:val="0"/>
                <w:color w:val="000000"/>
                <w:sz w:val="20"/>
              </w:rPr>
              <w:t>&lt; 4,000 ms</w:t>
            </w:r>
          </w:p>
        </w:tc>
      </w:tr>
      <w:tr>
        <w:tc>
          <w:tcPr>
            <w:tcW w:type="dxa" w:w="2736"/>
          </w:tcPr>
          <w:p>
            <w:pPr>
              <w:spacing w:before="40" w:after="40"/>
              <w:jc w:val="left"/>
            </w:pPr>
            <w:r/>
            <w:r>
              <w:rPr>
                <w:rFonts w:ascii="Times New Roman" w:hAnsi="Times New Roman"/>
                <w:b w:val="0"/>
                <w:color w:val="000000"/>
                <w:sz w:val="20"/>
              </w:rPr>
              <w:t>Disponibilidad (%)</w:t>
            </w:r>
          </w:p>
        </w:tc>
        <w:tc>
          <w:tcPr>
            <w:tcW w:type="dxa" w:w="1296"/>
          </w:tcPr>
          <w:p>
            <w:pPr>
              <w:spacing w:before="40" w:after="40"/>
              <w:jc w:val="left"/>
            </w:pPr>
            <w:r/>
            <w:r>
              <w:rPr>
                <w:rFonts w:ascii="Times New Roman" w:hAnsi="Times New Roman"/>
                <w:b w:val="0"/>
                <w:color w:val="000000"/>
                <w:sz w:val="20"/>
              </w:rPr>
              <w:t>100%</w:t>
            </w:r>
          </w:p>
        </w:tc>
        <w:tc>
          <w:tcPr>
            <w:tcW w:type="dxa" w:w="1440"/>
          </w:tcPr>
          <w:p>
            <w:pPr>
              <w:spacing w:before="40" w:after="40"/>
              <w:jc w:val="left"/>
            </w:pPr>
            <w:r/>
            <w:r>
              <w:rPr>
                <w:rFonts w:ascii="Times New Roman" w:hAnsi="Times New Roman"/>
                <w:b w:val="0"/>
                <w:color w:val="000000"/>
                <w:sz w:val="20"/>
              </w:rPr>
              <w:t>99.8%</w:t>
            </w:r>
          </w:p>
        </w:tc>
        <w:tc>
          <w:tcPr>
            <w:tcW w:type="dxa" w:w="1584"/>
          </w:tcPr>
          <w:p>
            <w:pPr>
              <w:spacing w:before="40" w:after="40"/>
              <w:jc w:val="left"/>
            </w:pPr>
            <w:r/>
            <w:r>
              <w:rPr>
                <w:rFonts w:ascii="Times New Roman" w:hAnsi="Times New Roman"/>
                <w:b w:val="0"/>
                <w:color w:val="000000"/>
                <w:sz w:val="20"/>
              </w:rPr>
              <w:t>98.5%</w:t>
            </w:r>
          </w:p>
        </w:tc>
        <w:tc>
          <w:tcPr>
            <w:tcW w:type="dxa" w:w="1440"/>
          </w:tcPr>
          <w:p>
            <w:pPr>
              <w:spacing w:before="40" w:after="40"/>
              <w:jc w:val="left"/>
            </w:pPr>
            <w:r/>
            <w:r>
              <w:rPr>
                <w:rFonts w:ascii="Times New Roman" w:hAnsi="Times New Roman"/>
                <w:b w:val="0"/>
                <w:color w:val="000000"/>
                <w:sz w:val="20"/>
              </w:rPr>
              <w:t>≥ 99.5%</w:t>
            </w:r>
          </w:p>
        </w:tc>
      </w:tr>
      <w:tr>
        <w:tc>
          <w:tcPr>
            <w:tcW w:type="dxa" w:w="2736"/>
          </w:tcPr>
          <w:p>
            <w:pPr>
              <w:spacing w:before="40" w:after="40"/>
              <w:jc w:val="left"/>
            </w:pPr>
            <w:r/>
            <w:r>
              <w:rPr>
                <w:rFonts w:ascii="Times New Roman" w:hAnsi="Times New Roman"/>
                <w:b w:val="0"/>
                <w:color w:val="000000"/>
                <w:sz w:val="20"/>
              </w:rPr>
              <w:t>Tasa de error (%)</w:t>
            </w:r>
          </w:p>
        </w:tc>
        <w:tc>
          <w:tcPr>
            <w:tcW w:type="dxa" w:w="1296"/>
          </w:tcPr>
          <w:p>
            <w:pPr>
              <w:spacing w:before="40" w:after="40"/>
              <w:jc w:val="left"/>
            </w:pPr>
            <w:r/>
            <w:r>
              <w:rPr>
                <w:rFonts w:ascii="Times New Roman" w:hAnsi="Times New Roman"/>
                <w:b w:val="0"/>
                <w:color w:val="000000"/>
                <w:sz w:val="20"/>
              </w:rPr>
              <w:t>0.0%</w:t>
            </w:r>
          </w:p>
        </w:tc>
        <w:tc>
          <w:tcPr>
            <w:tcW w:type="dxa" w:w="1440"/>
          </w:tcPr>
          <w:p>
            <w:pPr>
              <w:spacing w:before="40" w:after="40"/>
              <w:jc w:val="left"/>
            </w:pPr>
            <w:r/>
            <w:r>
              <w:rPr>
                <w:rFonts w:ascii="Times New Roman" w:hAnsi="Times New Roman"/>
                <w:b w:val="0"/>
                <w:color w:val="000000"/>
                <w:sz w:val="20"/>
              </w:rPr>
              <w:t>0.1%</w:t>
            </w:r>
          </w:p>
        </w:tc>
        <w:tc>
          <w:tcPr>
            <w:tcW w:type="dxa" w:w="1584"/>
          </w:tcPr>
          <w:p>
            <w:pPr>
              <w:spacing w:before="40" w:after="40"/>
              <w:jc w:val="left"/>
            </w:pPr>
            <w:r/>
            <w:r>
              <w:rPr>
                <w:rFonts w:ascii="Times New Roman" w:hAnsi="Times New Roman"/>
                <w:b w:val="0"/>
                <w:color w:val="000000"/>
                <w:sz w:val="20"/>
              </w:rPr>
              <w:t>0.5%</w:t>
            </w:r>
          </w:p>
        </w:tc>
        <w:tc>
          <w:tcPr>
            <w:tcW w:type="dxa" w:w="1440"/>
          </w:tcPr>
          <w:p>
            <w:pPr>
              <w:spacing w:before="40" w:after="40"/>
              <w:jc w:val="left"/>
            </w:pPr>
            <w:r/>
            <w:r>
              <w:rPr>
                <w:rFonts w:ascii="Times New Roman" w:hAnsi="Times New Roman"/>
                <w:b w:val="0"/>
                <w:color w:val="000000"/>
                <w:sz w:val="20"/>
              </w:rPr>
              <w:t>&lt; 1%</w:t>
            </w:r>
          </w:p>
        </w:tc>
      </w:tr>
      <w:tr>
        <w:tc>
          <w:tcPr>
            <w:tcW w:type="dxa" w:w="2736"/>
          </w:tcPr>
          <w:p>
            <w:pPr>
              <w:spacing w:before="40" w:after="40"/>
              <w:jc w:val="left"/>
            </w:pPr>
            <w:r/>
            <w:r>
              <w:rPr>
                <w:rFonts w:ascii="Times New Roman" w:hAnsi="Times New Roman"/>
                <w:b w:val="0"/>
                <w:color w:val="000000"/>
                <w:sz w:val="20"/>
              </w:rPr>
              <w:t>Throughput (req/s)</w:t>
            </w:r>
          </w:p>
        </w:tc>
        <w:tc>
          <w:tcPr>
            <w:tcW w:type="dxa" w:w="1296"/>
          </w:tcPr>
          <w:p>
            <w:pPr>
              <w:spacing w:before="40" w:after="40"/>
              <w:jc w:val="left"/>
            </w:pPr>
            <w:r/>
            <w:r>
              <w:rPr>
                <w:rFonts w:ascii="Times New Roman" w:hAnsi="Times New Roman"/>
                <w:b w:val="0"/>
                <w:color w:val="000000"/>
                <w:sz w:val="20"/>
              </w:rPr>
              <w:t>210</w:t>
            </w:r>
          </w:p>
        </w:tc>
        <w:tc>
          <w:tcPr>
            <w:tcW w:type="dxa" w:w="1440"/>
          </w:tcPr>
          <w:p>
            <w:pPr>
              <w:spacing w:before="40" w:after="40"/>
              <w:jc w:val="left"/>
            </w:pPr>
            <w:r/>
            <w:r>
              <w:rPr>
                <w:rFonts w:ascii="Times New Roman" w:hAnsi="Times New Roman"/>
                <w:b w:val="0"/>
                <w:color w:val="000000"/>
                <w:sz w:val="20"/>
              </w:rPr>
              <w:t>148</w:t>
            </w:r>
          </w:p>
        </w:tc>
        <w:tc>
          <w:tcPr>
            <w:tcW w:type="dxa" w:w="1584"/>
          </w:tcPr>
          <w:p>
            <w:pPr>
              <w:spacing w:before="40" w:after="40"/>
              <w:jc w:val="left"/>
            </w:pPr>
            <w:r/>
            <w:r>
              <w:rPr>
                <w:rFonts w:ascii="Times New Roman" w:hAnsi="Times New Roman"/>
                <w:b w:val="0"/>
                <w:color w:val="000000"/>
                <w:sz w:val="20"/>
              </w:rPr>
              <w:t>95</w:t>
            </w:r>
          </w:p>
        </w:tc>
        <w:tc>
          <w:tcPr>
            <w:tcW w:type="dxa" w:w="1440"/>
          </w:tcPr>
          <w:p>
            <w:pPr>
              <w:spacing w:before="40" w:after="40"/>
              <w:jc w:val="left"/>
            </w:pPr>
            <w:r/>
            <w:r>
              <w:rPr>
                <w:rFonts w:ascii="Times New Roman" w:hAnsi="Times New Roman"/>
                <w:b w:val="0"/>
                <w:color w:val="000000"/>
                <w:sz w:val="20"/>
              </w:rPr>
              <w:t>≥ 100 req/s</w:t>
            </w:r>
          </w:p>
        </w:tc>
      </w:tr>
    </w:tbl>
    <w:p>
      <w:pPr>
        <w:spacing w:line="480" w:lineRule="auto"/>
      </w:pPr>
      <w:r>
        <w:rPr>
          <w:rFonts w:ascii="Times New Roman" w:hAnsi="Times New Roman"/>
          <w:b w:val="0"/>
          <w:i/>
          <w:color w:val="000000"/>
          <w:sz w:val="24"/>
        </w:rPr>
        <w:t xml:space="preserve">Nota. </w:t>
      </w:r>
      <w:r>
        <w:rPr>
          <w:rFonts w:ascii="Times New Roman" w:hAnsi="Times New Roman"/>
          <w:b w:val="0"/>
          <w:i w:val="0"/>
          <w:color w:val="000000"/>
          <w:sz w:val="24"/>
        </w:rPr>
        <w:t>A 1,000 usuarios concurrentes se observó latencia p95 de 2,800 ms (por encima del umbral de 2,000 ms, Nygard, 2018) y throughput de 95 req/s (por debajo de la meta de 100 req/s). Se recomienda implementar caché Redis y optimización de consultas SQL para escalar a esta carga.</w:t>
      </w:r>
    </w:p>
    <w:p>
      <w:pPr>
        <w:spacing w:line="480" w:lineRule="auto" w:before="0" w:after="0"/>
        <w:jc w:val="center"/>
      </w:pPr>
      <w:r>
        <w:rPr>
          <w:rFonts w:ascii="Times New Roman" w:hAnsi="Times New Roman"/>
          <w:b/>
          <w:i w:val="0"/>
          <w:color w:val="000000"/>
          <w:sz w:val="24"/>
        </w:rPr>
        <w:t>6. Gestión de Defectos</w:t>
      </w:r>
    </w:p>
    <w:p>
      <w:pPr>
        <w:spacing w:line="480" w:lineRule="auto" w:before="0" w:after="0"/>
        <w:ind w:firstLine="720"/>
        <w:jc w:val="left"/>
      </w:pPr>
      <w:r>
        <w:rPr>
          <w:rFonts w:ascii="Times New Roman" w:hAnsi="Times New Roman"/>
          <w:b w:val="0"/>
          <w:i w:val="0"/>
          <w:color w:val="000000"/>
          <w:sz w:val="24"/>
        </w:rPr>
        <w:t>Durante el ciclo de validación se identificaron y gestionaron 20 hallazgos QA (H#1–H#20). La Tabla 5 presenta el resumen por severidad y estado de resolución, conforme a la taxonomía de defectos de IEEE 1044-2009 (IEEE, 2009).</w:t>
      </w:r>
    </w:p>
    <w:p>
      <w:pPr>
        <w:spacing w:line="480" w:lineRule="auto" w:before="0" w:after="0"/>
        <w:jc w:val="left"/>
      </w:pPr>
    </w:p>
    <w:p>
      <w:pPr>
        <w:spacing w:line="480" w:lineRule="auto"/>
        <w:jc w:val="center"/>
      </w:pPr>
      <w:r>
        <w:rPr>
          <w:rFonts w:ascii="Times New Roman" w:hAnsi="Times New Roman"/>
          <w:b w:val="0"/>
          <w:i w:val="0"/>
          <w:color w:val="000000"/>
          <w:sz w:val="24"/>
        </w:rPr>
        <w:t>Tabla 5</w:t>
      </w:r>
    </w:p>
    <w:p>
      <w:pPr>
        <w:spacing w:line="480" w:lineRule="auto"/>
        <w:jc w:val="left"/>
      </w:pPr>
      <w:r>
        <w:rPr>
          <w:rFonts w:ascii="Times New Roman" w:hAnsi="Times New Roman"/>
          <w:b w:val="0"/>
          <w:i/>
          <w:color w:val="000000"/>
          <w:sz w:val="24"/>
        </w:rPr>
        <w:t>Resumen de Defectos por Severidad y Estado (IEEE 1044-2009)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448"/>
            <w:shd w:val="clear" w:color="auto" w:fill="D0D0D0"/>
          </w:tcPr>
          <w:p>
            <w:pPr>
              <w:spacing w:before="40" w:after="40"/>
              <w:jc w:val="left"/>
            </w:pPr>
            <w:r/>
            <w:r>
              <w:rPr>
                <w:rFonts w:ascii="Times New Roman" w:hAnsi="Times New Roman"/>
                <w:b/>
                <w:color w:val="000000"/>
                <w:sz w:val="20"/>
              </w:rPr>
              <w:t>Severidad</w:t>
            </w:r>
          </w:p>
        </w:tc>
        <w:tc>
          <w:tcPr>
            <w:tcW w:type="dxa" w:w="2880"/>
            <w:shd w:val="clear" w:color="auto" w:fill="D0D0D0"/>
          </w:tcPr>
          <w:p>
            <w:pPr>
              <w:spacing w:before="40" w:after="40"/>
              <w:jc w:val="left"/>
            </w:pPr>
            <w:r/>
            <w:r>
              <w:rPr>
                <w:rFonts w:ascii="Times New Roman" w:hAnsi="Times New Roman"/>
                <w:b/>
                <w:color w:val="000000"/>
                <w:sz w:val="20"/>
              </w:rPr>
              <w:t>Descripción</w:t>
            </w:r>
          </w:p>
        </w:tc>
        <w:tc>
          <w:tcPr>
            <w:tcW w:type="dxa" w:w="1584"/>
            <w:shd w:val="clear" w:color="auto" w:fill="D0D0D0"/>
          </w:tcPr>
          <w:p>
            <w:pPr>
              <w:spacing w:before="40" w:after="40"/>
              <w:jc w:val="left"/>
            </w:pPr>
            <w:r/>
            <w:r>
              <w:rPr>
                <w:rFonts w:ascii="Times New Roman" w:hAnsi="Times New Roman"/>
                <w:b/>
                <w:color w:val="000000"/>
                <w:sz w:val="20"/>
              </w:rPr>
              <w:t>Identificados</w:t>
            </w:r>
          </w:p>
        </w:tc>
        <w:tc>
          <w:tcPr>
            <w:tcW w:type="dxa" w:w="1440"/>
            <w:shd w:val="clear" w:color="auto" w:fill="D0D0D0"/>
          </w:tcPr>
          <w:p>
            <w:pPr>
              <w:spacing w:before="40" w:after="40"/>
              <w:jc w:val="left"/>
            </w:pPr>
            <w:r/>
            <w:r>
              <w:rPr>
                <w:rFonts w:ascii="Times New Roman" w:hAnsi="Times New Roman"/>
                <w:b/>
                <w:color w:val="000000"/>
                <w:sz w:val="20"/>
              </w:rPr>
              <w:t>Resueltos</w:t>
            </w:r>
          </w:p>
        </w:tc>
        <w:tc>
          <w:tcPr>
            <w:tcW w:type="dxa" w:w="1440"/>
            <w:shd w:val="clear" w:color="auto" w:fill="D0D0D0"/>
          </w:tcPr>
          <w:p>
            <w:pPr>
              <w:spacing w:before="40" w:after="40"/>
              <w:jc w:val="left"/>
            </w:pPr>
            <w:r/>
            <w:r>
              <w:rPr>
                <w:rFonts w:ascii="Times New Roman" w:hAnsi="Times New Roman"/>
                <w:b/>
                <w:color w:val="000000"/>
                <w:sz w:val="20"/>
              </w:rPr>
              <w:t>Pendientes</w:t>
            </w:r>
          </w:p>
        </w:tc>
      </w:tr>
      <w:tr>
        <w:tc>
          <w:tcPr>
            <w:tcW w:type="dxa" w:w="2448"/>
          </w:tcPr>
          <w:p>
            <w:pPr>
              <w:spacing w:before="40" w:after="40"/>
              <w:jc w:val="left"/>
            </w:pPr>
            <w:r/>
            <w:r>
              <w:rPr>
                <w:rFonts w:ascii="Times New Roman" w:hAnsi="Times New Roman"/>
                <w:b w:val="0"/>
                <w:color w:val="000000"/>
                <w:sz w:val="20"/>
              </w:rPr>
              <w:t>Crítico (Bloqueante)</w:t>
            </w:r>
          </w:p>
        </w:tc>
        <w:tc>
          <w:tcPr>
            <w:tcW w:type="dxa" w:w="2880"/>
          </w:tcPr>
          <w:p>
            <w:pPr>
              <w:spacing w:before="40" w:after="40"/>
              <w:jc w:val="left"/>
            </w:pPr>
            <w:r/>
            <w:r>
              <w:rPr>
                <w:rFonts w:ascii="Times New Roman" w:hAnsi="Times New Roman"/>
                <w:b w:val="0"/>
                <w:color w:val="000000"/>
                <w:sz w:val="20"/>
              </w:rPr>
              <w:t>Impide uso del sistema</w:t>
            </w:r>
          </w:p>
        </w:tc>
        <w:tc>
          <w:tcPr>
            <w:tcW w:type="dxa" w:w="1584"/>
          </w:tcPr>
          <w:p>
            <w:pPr>
              <w:spacing w:before="40" w:after="40"/>
              <w:jc w:val="left"/>
            </w:pPr>
            <w:r/>
            <w:r>
              <w:rPr>
                <w:rFonts w:ascii="Times New Roman" w:hAnsi="Times New Roman"/>
                <w:b w:val="0"/>
                <w:color w:val="000000"/>
                <w:sz w:val="20"/>
              </w:rPr>
              <w:t>0</w:t>
            </w:r>
          </w:p>
        </w:tc>
        <w:tc>
          <w:tcPr>
            <w:tcW w:type="dxa" w:w="1440"/>
          </w:tcPr>
          <w:p>
            <w:pPr>
              <w:spacing w:before="40" w:after="40"/>
              <w:jc w:val="left"/>
            </w:pPr>
            <w:r/>
            <w:r>
              <w:rPr>
                <w:rFonts w:ascii="Times New Roman" w:hAnsi="Times New Roman"/>
                <w:b w:val="0"/>
                <w:color w:val="000000"/>
                <w:sz w:val="20"/>
              </w:rPr>
              <w:t>0</w:t>
            </w:r>
          </w:p>
        </w:tc>
        <w:tc>
          <w:tcPr>
            <w:tcW w:type="dxa" w:w="1440"/>
          </w:tcPr>
          <w:p>
            <w:pPr>
              <w:spacing w:before="40" w:after="40"/>
              <w:jc w:val="left"/>
            </w:pPr>
            <w:r/>
            <w:r>
              <w:rPr>
                <w:rFonts w:ascii="Times New Roman" w:hAnsi="Times New Roman"/>
                <w:b w:val="0"/>
                <w:color w:val="000000"/>
                <w:sz w:val="20"/>
              </w:rPr>
              <w:t>0</w:t>
            </w:r>
          </w:p>
        </w:tc>
      </w:tr>
      <w:tr>
        <w:tc>
          <w:tcPr>
            <w:tcW w:type="dxa" w:w="2448"/>
          </w:tcPr>
          <w:p>
            <w:pPr>
              <w:spacing w:before="40" w:after="40"/>
              <w:jc w:val="left"/>
            </w:pPr>
            <w:r/>
            <w:r>
              <w:rPr>
                <w:rFonts w:ascii="Times New Roman" w:hAnsi="Times New Roman"/>
                <w:b w:val="0"/>
                <w:color w:val="000000"/>
                <w:sz w:val="20"/>
              </w:rPr>
              <w:t>Mayor (Funcional)</w:t>
            </w:r>
          </w:p>
        </w:tc>
        <w:tc>
          <w:tcPr>
            <w:tcW w:type="dxa" w:w="2880"/>
          </w:tcPr>
          <w:p>
            <w:pPr>
              <w:spacing w:before="40" w:after="40"/>
              <w:jc w:val="left"/>
            </w:pPr>
            <w:r/>
            <w:r>
              <w:rPr>
                <w:rFonts w:ascii="Times New Roman" w:hAnsi="Times New Roman"/>
                <w:b w:val="0"/>
                <w:color w:val="000000"/>
                <w:sz w:val="20"/>
              </w:rPr>
              <w:t>Fallo en función principal</w:t>
            </w:r>
          </w:p>
        </w:tc>
        <w:tc>
          <w:tcPr>
            <w:tcW w:type="dxa" w:w="1584"/>
          </w:tcPr>
          <w:p>
            <w:pPr>
              <w:spacing w:before="40" w:after="40"/>
              <w:jc w:val="left"/>
            </w:pPr>
            <w:r/>
            <w:r>
              <w:rPr>
                <w:rFonts w:ascii="Times New Roman" w:hAnsi="Times New Roman"/>
                <w:b w:val="0"/>
                <w:color w:val="000000"/>
                <w:sz w:val="20"/>
              </w:rPr>
              <w:t>19</w:t>
            </w:r>
          </w:p>
        </w:tc>
        <w:tc>
          <w:tcPr>
            <w:tcW w:type="dxa" w:w="1440"/>
          </w:tcPr>
          <w:p>
            <w:pPr>
              <w:spacing w:before="40" w:after="40"/>
              <w:jc w:val="left"/>
            </w:pPr>
            <w:r/>
            <w:r>
              <w:rPr>
                <w:rFonts w:ascii="Times New Roman" w:hAnsi="Times New Roman"/>
                <w:b w:val="0"/>
                <w:color w:val="000000"/>
                <w:sz w:val="20"/>
              </w:rPr>
              <w:t>19</w:t>
            </w:r>
          </w:p>
        </w:tc>
        <w:tc>
          <w:tcPr>
            <w:tcW w:type="dxa" w:w="1440"/>
          </w:tcPr>
          <w:p>
            <w:pPr>
              <w:spacing w:before="40" w:after="40"/>
              <w:jc w:val="left"/>
            </w:pPr>
            <w:r/>
            <w:r>
              <w:rPr>
                <w:rFonts w:ascii="Times New Roman" w:hAnsi="Times New Roman"/>
                <w:b w:val="0"/>
                <w:color w:val="000000"/>
                <w:sz w:val="20"/>
              </w:rPr>
              <w:t>0</w:t>
            </w:r>
          </w:p>
        </w:tc>
      </w:tr>
      <w:tr>
        <w:tc>
          <w:tcPr>
            <w:tcW w:type="dxa" w:w="2448"/>
          </w:tcPr>
          <w:p>
            <w:pPr>
              <w:spacing w:before="40" w:after="40"/>
              <w:jc w:val="left"/>
            </w:pPr>
            <w:r/>
            <w:r>
              <w:rPr>
                <w:rFonts w:ascii="Times New Roman" w:hAnsi="Times New Roman"/>
                <w:b w:val="0"/>
                <w:color w:val="000000"/>
                <w:sz w:val="20"/>
              </w:rPr>
              <w:t>Menor (UX/Mejora)</w:t>
            </w:r>
          </w:p>
        </w:tc>
        <w:tc>
          <w:tcPr>
            <w:tcW w:type="dxa" w:w="2880"/>
          </w:tcPr>
          <w:p>
            <w:pPr>
              <w:spacing w:before="40" w:after="40"/>
              <w:jc w:val="left"/>
            </w:pPr>
            <w:r/>
            <w:r>
              <w:rPr>
                <w:rFonts w:ascii="Times New Roman" w:hAnsi="Times New Roman"/>
                <w:b w:val="0"/>
                <w:color w:val="000000"/>
                <w:sz w:val="20"/>
              </w:rPr>
              <w:t>Experiencia de usuario</w:t>
            </w:r>
          </w:p>
        </w:tc>
        <w:tc>
          <w:tcPr>
            <w:tcW w:type="dxa" w:w="1584"/>
          </w:tcPr>
          <w:p>
            <w:pPr>
              <w:spacing w:before="40" w:after="40"/>
              <w:jc w:val="left"/>
            </w:pPr>
            <w:r/>
            <w:r>
              <w:rPr>
                <w:rFonts w:ascii="Times New Roman" w:hAnsi="Times New Roman"/>
                <w:b w:val="0"/>
                <w:color w:val="000000"/>
                <w:sz w:val="20"/>
              </w:rPr>
              <w:t>1</w:t>
            </w:r>
          </w:p>
        </w:tc>
        <w:tc>
          <w:tcPr>
            <w:tcW w:type="dxa" w:w="1440"/>
          </w:tcPr>
          <w:p>
            <w:pPr>
              <w:spacing w:before="40" w:after="40"/>
              <w:jc w:val="left"/>
            </w:pPr>
            <w:r/>
            <w:r>
              <w:rPr>
                <w:rFonts w:ascii="Times New Roman" w:hAnsi="Times New Roman"/>
                <w:b w:val="0"/>
                <w:color w:val="000000"/>
                <w:sz w:val="20"/>
              </w:rPr>
              <w:t>0</w:t>
            </w:r>
          </w:p>
        </w:tc>
        <w:tc>
          <w:tcPr>
            <w:tcW w:type="dxa" w:w="1440"/>
          </w:tcPr>
          <w:p>
            <w:pPr>
              <w:spacing w:before="40" w:after="40"/>
              <w:jc w:val="left"/>
            </w:pPr>
            <w:r/>
            <w:r>
              <w:rPr>
                <w:rFonts w:ascii="Times New Roman" w:hAnsi="Times New Roman"/>
                <w:b w:val="0"/>
                <w:color w:val="000000"/>
                <w:sz w:val="20"/>
              </w:rPr>
              <w:t>1*</w:t>
            </w:r>
          </w:p>
        </w:tc>
      </w:tr>
      <w:tr>
        <w:tc>
          <w:tcPr>
            <w:tcW w:type="dxa" w:w="2448"/>
          </w:tcPr>
          <w:p>
            <w:pPr>
              <w:spacing w:before="40" w:after="40"/>
              <w:jc w:val="left"/>
            </w:pPr>
            <w:r/>
            <w:r>
              <w:rPr>
                <w:rFonts w:ascii="Times New Roman" w:hAnsi="Times New Roman"/>
                <w:b w:val="0"/>
                <w:color w:val="000000"/>
                <w:sz w:val="20"/>
              </w:rPr>
              <w:t>Total</w:t>
            </w:r>
          </w:p>
        </w:tc>
        <w:tc>
          <w:tcPr>
            <w:tcW w:type="dxa" w:w="2880"/>
          </w:tcPr>
          <w:p>
            <w:pPr>
              <w:spacing w:before="40" w:after="40"/>
              <w:jc w:val="left"/>
            </w:pPr>
            <w:r/>
            <w:r>
              <w:rPr>
                <w:rFonts w:ascii="Times New Roman" w:hAnsi="Times New Roman"/>
                <w:b w:val="0"/>
                <w:color w:val="000000"/>
                <w:sz w:val="20"/>
              </w:rPr>
              <w:t>—</w:t>
            </w:r>
          </w:p>
        </w:tc>
        <w:tc>
          <w:tcPr>
            <w:tcW w:type="dxa" w:w="1584"/>
          </w:tcPr>
          <w:p>
            <w:pPr>
              <w:spacing w:before="40" w:after="40"/>
              <w:jc w:val="left"/>
            </w:pPr>
            <w:r/>
            <w:r>
              <w:rPr>
                <w:rFonts w:ascii="Times New Roman" w:hAnsi="Times New Roman"/>
                <w:b w:val="0"/>
                <w:color w:val="000000"/>
                <w:sz w:val="20"/>
              </w:rPr>
              <w:t>20</w:t>
            </w:r>
          </w:p>
        </w:tc>
        <w:tc>
          <w:tcPr>
            <w:tcW w:type="dxa" w:w="1440"/>
          </w:tcPr>
          <w:p>
            <w:pPr>
              <w:spacing w:before="40" w:after="40"/>
              <w:jc w:val="left"/>
            </w:pPr>
            <w:r/>
            <w:r>
              <w:rPr>
                <w:rFonts w:ascii="Times New Roman" w:hAnsi="Times New Roman"/>
                <w:b w:val="0"/>
                <w:color w:val="000000"/>
                <w:sz w:val="20"/>
              </w:rPr>
              <w:t>19</w:t>
            </w:r>
          </w:p>
        </w:tc>
        <w:tc>
          <w:tcPr>
            <w:tcW w:type="dxa" w:w="1440"/>
          </w:tcPr>
          <w:p>
            <w:pPr>
              <w:spacing w:before="40" w:after="40"/>
              <w:jc w:val="left"/>
            </w:pPr>
            <w:r/>
            <w:r>
              <w:rPr>
                <w:rFonts w:ascii="Times New Roman" w:hAnsi="Times New Roman"/>
                <w:b w:val="0"/>
                <w:color w:val="000000"/>
                <w:sz w:val="20"/>
              </w:rPr>
              <w:t>1</w:t>
            </w:r>
          </w:p>
        </w:tc>
      </w:tr>
    </w:tbl>
    <w:p>
      <w:pPr>
        <w:spacing w:line="480" w:lineRule="auto"/>
      </w:pPr>
      <w:r>
        <w:rPr>
          <w:rFonts w:ascii="Times New Roman" w:hAnsi="Times New Roman"/>
          <w:b w:val="0"/>
          <w:i/>
          <w:color w:val="000000"/>
          <w:sz w:val="24"/>
        </w:rPr>
        <w:t xml:space="preserve">Nota. </w:t>
      </w:r>
      <w:r>
        <w:rPr>
          <w:rFonts w:ascii="Times New Roman" w:hAnsi="Times New Roman"/>
          <w:b w:val="0"/>
          <w:i w:val="0"/>
          <w:color w:val="000000"/>
          <w:sz w:val="24"/>
        </w:rPr>
        <w:t>*El defecto pendiente corresponde a la integración con Google Drive/OneDrive, prevista para la Fase 2 del sistema. No constituye un bloqueante para la aprobación de la validación de la Fase 1 (Objetivo 3).</w:t>
      </w:r>
    </w:p>
    <w:p>
      <w:pPr>
        <w:spacing w:line="480" w:lineRule="auto" w:before="0" w:after="0"/>
        <w:jc w:val="center"/>
      </w:pPr>
      <w:r>
        <w:rPr>
          <w:rFonts w:ascii="Times New Roman" w:hAnsi="Times New Roman"/>
          <w:b/>
          <w:i w:val="0"/>
          <w:color w:val="000000"/>
          <w:sz w:val="24"/>
        </w:rPr>
        <w:t>7. Análisis de Conformidad con Requisitos</w:t>
      </w:r>
    </w:p>
    <w:p>
      <w:pPr>
        <w:spacing w:line="480" w:lineRule="auto" w:before="0" w:after="0"/>
        <w:ind w:firstLine="720"/>
        <w:jc w:val="left"/>
      </w:pPr>
      <w:r>
        <w:rPr>
          <w:rFonts w:ascii="Times New Roman" w:hAnsi="Times New Roman"/>
          <w:b w:val="0"/>
          <w:i w:val="0"/>
          <w:color w:val="000000"/>
          <w:sz w:val="24"/>
        </w:rPr>
        <w:t>La Tabla 6 presenta el análisis de trazabilidad entre los requisitos funcionales del Objetivo 3 y los resultados obtenidos, verificando la conformidad del producto con las especificaciones originales.</w:t>
      </w:r>
    </w:p>
    <w:p>
      <w:pPr>
        <w:spacing w:line="480" w:lineRule="auto" w:before="0" w:after="0"/>
        <w:jc w:val="left"/>
      </w:pPr>
    </w:p>
    <w:p>
      <w:pPr>
        <w:spacing w:line="480" w:lineRule="auto"/>
        <w:jc w:val="center"/>
      </w:pPr>
      <w:r>
        <w:rPr>
          <w:rFonts w:ascii="Times New Roman" w:hAnsi="Times New Roman"/>
          <w:b w:val="0"/>
          <w:i w:val="0"/>
          <w:color w:val="000000"/>
          <w:sz w:val="24"/>
        </w:rPr>
        <w:t>Tabla 6</w:t>
      </w:r>
    </w:p>
    <w:p>
      <w:pPr>
        <w:spacing w:line="480" w:lineRule="auto"/>
        <w:jc w:val="left"/>
      </w:pPr>
      <w:r>
        <w:rPr>
          <w:rFonts w:ascii="Times New Roman" w:hAnsi="Times New Roman"/>
          <w:b w:val="0"/>
          <w:i/>
          <w:color w:val="000000"/>
          <w:sz w:val="24"/>
        </w:rPr>
        <w:t>Matriz de Conformidad de Requisitos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448"/>
            <w:shd w:val="clear" w:color="auto" w:fill="D0D0D0"/>
          </w:tcPr>
          <w:p>
            <w:pPr>
              <w:spacing w:before="40" w:after="40"/>
              <w:jc w:val="left"/>
            </w:pPr>
            <w:r/>
            <w:r>
              <w:rPr>
                <w:rFonts w:ascii="Times New Roman" w:hAnsi="Times New Roman"/>
                <w:b/>
                <w:color w:val="000000"/>
                <w:sz w:val="20"/>
              </w:rPr>
              <w:t>Requisito</w:t>
            </w:r>
          </w:p>
        </w:tc>
        <w:tc>
          <w:tcPr>
            <w:tcW w:type="dxa" w:w="2160"/>
            <w:shd w:val="clear" w:color="auto" w:fill="D0D0D0"/>
          </w:tcPr>
          <w:p>
            <w:pPr>
              <w:spacing w:before="40" w:after="40"/>
              <w:jc w:val="left"/>
            </w:pPr>
            <w:r/>
            <w:r>
              <w:rPr>
                <w:rFonts w:ascii="Times New Roman" w:hAnsi="Times New Roman"/>
                <w:b/>
                <w:color w:val="000000"/>
                <w:sz w:val="20"/>
              </w:rPr>
              <w:t>Indicador de Éxito</w:t>
            </w:r>
          </w:p>
        </w:tc>
        <w:tc>
          <w:tcPr>
            <w:tcW w:type="dxa" w:w="1728"/>
            <w:shd w:val="clear" w:color="auto" w:fill="D0D0D0"/>
          </w:tcPr>
          <w:p>
            <w:pPr>
              <w:spacing w:before="40" w:after="40"/>
              <w:jc w:val="left"/>
            </w:pPr>
            <w:r/>
            <w:r>
              <w:rPr>
                <w:rFonts w:ascii="Times New Roman" w:hAnsi="Times New Roman"/>
                <w:b/>
                <w:color w:val="000000"/>
                <w:sz w:val="20"/>
              </w:rPr>
              <w:t>Resultado</w:t>
            </w:r>
          </w:p>
        </w:tc>
        <w:tc>
          <w:tcPr>
            <w:tcW w:type="dxa" w:w="1584"/>
            <w:shd w:val="clear" w:color="auto" w:fill="D0D0D0"/>
          </w:tcPr>
          <w:p>
            <w:pPr>
              <w:spacing w:before="40" w:after="40"/>
              <w:jc w:val="left"/>
            </w:pPr>
            <w:r/>
            <w:r>
              <w:rPr>
                <w:rFonts w:ascii="Times New Roman" w:hAnsi="Times New Roman"/>
                <w:b/>
                <w:color w:val="000000"/>
                <w:sz w:val="20"/>
              </w:rPr>
              <w:t>Evidencia</w:t>
            </w:r>
          </w:p>
        </w:tc>
        <w:tc>
          <w:tcPr>
            <w:tcW w:type="dxa" w:w="1296"/>
            <w:shd w:val="clear" w:color="auto" w:fill="D0D0D0"/>
          </w:tcPr>
          <w:p>
            <w:pPr>
              <w:spacing w:before="40" w:after="40"/>
              <w:jc w:val="left"/>
            </w:pPr>
            <w:r/>
            <w:r>
              <w:rPr>
                <w:rFonts w:ascii="Times New Roman" w:hAnsi="Times New Roman"/>
                <w:b/>
                <w:color w:val="000000"/>
                <w:sz w:val="20"/>
              </w:rPr>
              <w:t>Estado</w:t>
            </w:r>
          </w:p>
        </w:tc>
      </w:tr>
      <w:tr>
        <w:tc>
          <w:tcPr>
            <w:tcW w:type="dxa" w:w="2448"/>
          </w:tcPr>
          <w:p>
            <w:pPr>
              <w:spacing w:before="40" w:after="40"/>
              <w:jc w:val="left"/>
            </w:pPr>
            <w:r/>
            <w:r>
              <w:rPr>
                <w:rFonts w:ascii="Times New Roman" w:hAnsi="Times New Roman"/>
                <w:b w:val="0"/>
                <w:color w:val="000000"/>
                <w:sz w:val="20"/>
              </w:rPr>
              <w:t>Gestión de sílabos (CRUD)</w:t>
            </w:r>
          </w:p>
        </w:tc>
        <w:tc>
          <w:tcPr>
            <w:tcW w:type="dxa" w:w="2160"/>
          </w:tcPr>
          <w:p>
            <w:pPr>
              <w:spacing w:before="40" w:after="40"/>
              <w:jc w:val="left"/>
            </w:pPr>
            <w:r/>
            <w:r>
              <w:rPr>
                <w:rFonts w:ascii="Times New Roman" w:hAnsi="Times New Roman"/>
                <w:b w:val="0"/>
                <w:color w:val="000000"/>
                <w:sz w:val="20"/>
              </w:rPr>
              <w:t>CP016–CP017 PASADOS</w:t>
            </w:r>
          </w:p>
        </w:tc>
        <w:tc>
          <w:tcPr>
            <w:tcW w:type="dxa" w:w="1728"/>
          </w:tcPr>
          <w:p>
            <w:pPr>
              <w:spacing w:before="40" w:after="40"/>
              <w:jc w:val="left"/>
            </w:pPr>
            <w:r/>
            <w:r>
              <w:rPr>
                <w:rFonts w:ascii="Times New Roman" w:hAnsi="Times New Roman"/>
                <w:b w:val="0"/>
                <w:color w:val="000000"/>
                <w:sz w:val="20"/>
              </w:rPr>
              <w:t>2/2 PASADOS</w:t>
            </w:r>
          </w:p>
        </w:tc>
        <w:tc>
          <w:tcPr>
            <w:tcW w:type="dxa" w:w="1584"/>
          </w:tcPr>
          <w:p>
            <w:pPr>
              <w:spacing w:before="40" w:after="40"/>
              <w:jc w:val="left"/>
            </w:pPr>
            <w:r/>
            <w:r>
              <w:rPr>
                <w:rFonts w:ascii="Times New Roman" w:hAnsi="Times New Roman"/>
                <w:b w:val="0"/>
                <w:color w:val="000000"/>
                <w:sz w:val="20"/>
              </w:rPr>
              <w:t>CP016, CP017</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Registro en blockchain</w:t>
            </w:r>
          </w:p>
        </w:tc>
        <w:tc>
          <w:tcPr>
            <w:tcW w:type="dxa" w:w="2160"/>
          </w:tcPr>
          <w:p>
            <w:pPr>
              <w:spacing w:before="40" w:after="40"/>
              <w:jc w:val="left"/>
            </w:pPr>
            <w:r/>
            <w:r>
              <w:rPr>
                <w:rFonts w:ascii="Times New Roman" w:hAnsi="Times New Roman"/>
                <w:b w:val="0"/>
                <w:color w:val="000000"/>
                <w:sz w:val="20"/>
              </w:rPr>
              <w:t>Confirmación Tx en Fabric</w:t>
            </w:r>
          </w:p>
        </w:tc>
        <w:tc>
          <w:tcPr>
            <w:tcW w:type="dxa" w:w="1728"/>
          </w:tcPr>
          <w:p>
            <w:pPr>
              <w:spacing w:before="40" w:after="40"/>
              <w:jc w:val="left"/>
            </w:pPr>
            <w:r/>
            <w:r>
              <w:rPr>
                <w:rFonts w:ascii="Times New Roman" w:hAnsi="Times New Roman"/>
                <w:b w:val="0"/>
                <w:color w:val="000000"/>
                <w:sz w:val="20"/>
              </w:rPr>
              <w:t>TX confirmada</w:t>
            </w:r>
          </w:p>
        </w:tc>
        <w:tc>
          <w:tcPr>
            <w:tcW w:type="dxa" w:w="1584"/>
          </w:tcPr>
          <w:p>
            <w:pPr>
              <w:spacing w:before="40" w:after="40"/>
              <w:jc w:val="left"/>
            </w:pPr>
            <w:r/>
            <w:r>
              <w:rPr>
                <w:rFonts w:ascii="Times New Roman" w:hAnsi="Times New Roman"/>
                <w:b w:val="0"/>
                <w:color w:val="000000"/>
                <w:sz w:val="20"/>
              </w:rPr>
              <w:t>CP018, Explorer</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Trazabilidad documental</w:t>
            </w:r>
          </w:p>
        </w:tc>
        <w:tc>
          <w:tcPr>
            <w:tcW w:type="dxa" w:w="2160"/>
          </w:tcPr>
          <w:p>
            <w:pPr>
              <w:spacing w:before="40" w:after="40"/>
              <w:jc w:val="left"/>
            </w:pPr>
            <w:r/>
            <w:r>
              <w:rPr>
                <w:rFonts w:ascii="Times New Roman" w:hAnsi="Times New Roman"/>
                <w:b w:val="0"/>
                <w:color w:val="000000"/>
                <w:sz w:val="20"/>
              </w:rPr>
              <w:t>Hash SHA-256 verificable</w:t>
            </w:r>
          </w:p>
        </w:tc>
        <w:tc>
          <w:tcPr>
            <w:tcW w:type="dxa" w:w="1728"/>
          </w:tcPr>
          <w:p>
            <w:pPr>
              <w:spacing w:before="40" w:after="40"/>
              <w:jc w:val="left"/>
            </w:pPr>
            <w:r/>
            <w:r>
              <w:rPr>
                <w:rFonts w:ascii="Times New Roman" w:hAnsi="Times New Roman"/>
                <w:b w:val="0"/>
                <w:color w:val="000000"/>
                <w:sz w:val="20"/>
              </w:rPr>
              <w:t>Verificado</w:t>
            </w:r>
          </w:p>
        </w:tc>
        <w:tc>
          <w:tcPr>
            <w:tcW w:type="dxa" w:w="1584"/>
          </w:tcPr>
          <w:p>
            <w:pPr>
              <w:spacing w:before="40" w:after="40"/>
              <w:jc w:val="left"/>
            </w:pPr>
            <w:r/>
            <w:r>
              <w:rPr>
                <w:rFonts w:ascii="Times New Roman" w:hAnsi="Times New Roman"/>
                <w:b w:val="0"/>
                <w:color w:val="000000"/>
                <w:sz w:val="20"/>
              </w:rPr>
              <w:t>CP019, Fabric</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Verificación pública</w:t>
            </w:r>
          </w:p>
        </w:tc>
        <w:tc>
          <w:tcPr>
            <w:tcW w:type="dxa" w:w="2160"/>
          </w:tcPr>
          <w:p>
            <w:pPr>
              <w:spacing w:before="40" w:after="40"/>
              <w:jc w:val="left"/>
            </w:pPr>
            <w:r/>
            <w:r>
              <w:rPr>
                <w:rFonts w:ascii="Times New Roman" w:hAnsi="Times New Roman"/>
                <w:b w:val="0"/>
                <w:color w:val="000000"/>
                <w:sz w:val="20"/>
              </w:rPr>
              <w:t>Portal público accesible</w:t>
            </w:r>
          </w:p>
        </w:tc>
        <w:tc>
          <w:tcPr>
            <w:tcW w:type="dxa" w:w="1728"/>
          </w:tcPr>
          <w:p>
            <w:pPr>
              <w:spacing w:before="40" w:after="40"/>
              <w:jc w:val="left"/>
            </w:pPr>
            <w:r/>
            <w:r>
              <w:rPr>
                <w:rFonts w:ascii="Times New Roman" w:hAnsi="Times New Roman"/>
                <w:b w:val="0"/>
                <w:color w:val="000000"/>
                <w:sz w:val="20"/>
              </w:rPr>
              <w:t>Operativo</w:t>
            </w:r>
          </w:p>
        </w:tc>
        <w:tc>
          <w:tcPr>
            <w:tcW w:type="dxa" w:w="1584"/>
          </w:tcPr>
          <w:p>
            <w:pPr>
              <w:spacing w:before="40" w:after="40"/>
              <w:jc w:val="left"/>
            </w:pPr>
            <w:r/>
            <w:r>
              <w:rPr>
                <w:rFonts w:ascii="Times New Roman" w:hAnsi="Times New Roman"/>
                <w:b w:val="0"/>
                <w:color w:val="000000"/>
                <w:sz w:val="20"/>
              </w:rPr>
              <w:t>CP020</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Autenticación y RBAC</w:t>
            </w:r>
          </w:p>
        </w:tc>
        <w:tc>
          <w:tcPr>
            <w:tcW w:type="dxa" w:w="2160"/>
          </w:tcPr>
          <w:p>
            <w:pPr>
              <w:spacing w:before="40" w:after="40"/>
              <w:jc w:val="left"/>
            </w:pPr>
            <w:r/>
            <w:r>
              <w:rPr>
                <w:rFonts w:ascii="Times New Roman" w:hAnsi="Times New Roman"/>
                <w:b w:val="0"/>
                <w:color w:val="000000"/>
                <w:sz w:val="20"/>
              </w:rPr>
              <w:t>CP001–CP005 PASADOS</w:t>
            </w:r>
          </w:p>
        </w:tc>
        <w:tc>
          <w:tcPr>
            <w:tcW w:type="dxa" w:w="1728"/>
          </w:tcPr>
          <w:p>
            <w:pPr>
              <w:spacing w:before="40" w:after="40"/>
              <w:jc w:val="left"/>
            </w:pPr>
            <w:r/>
            <w:r>
              <w:rPr>
                <w:rFonts w:ascii="Times New Roman" w:hAnsi="Times New Roman"/>
                <w:b w:val="0"/>
                <w:color w:val="000000"/>
                <w:sz w:val="20"/>
              </w:rPr>
              <w:t>5/5 PASADOS</w:t>
            </w:r>
          </w:p>
        </w:tc>
        <w:tc>
          <w:tcPr>
            <w:tcW w:type="dxa" w:w="1584"/>
          </w:tcPr>
          <w:p>
            <w:pPr>
              <w:spacing w:before="40" w:after="40"/>
              <w:jc w:val="left"/>
            </w:pPr>
            <w:r/>
            <w:r>
              <w:rPr>
                <w:rFonts w:ascii="Times New Roman" w:hAnsi="Times New Roman"/>
                <w:b w:val="0"/>
                <w:color w:val="000000"/>
                <w:sz w:val="20"/>
              </w:rPr>
              <w:t>CP001–CP005</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Catálogo académico</w:t>
            </w:r>
          </w:p>
        </w:tc>
        <w:tc>
          <w:tcPr>
            <w:tcW w:type="dxa" w:w="2160"/>
          </w:tcPr>
          <w:p>
            <w:pPr>
              <w:spacing w:before="40" w:after="40"/>
              <w:jc w:val="left"/>
            </w:pPr>
            <w:r/>
            <w:r>
              <w:rPr>
                <w:rFonts w:ascii="Times New Roman" w:hAnsi="Times New Roman"/>
                <w:b w:val="0"/>
                <w:color w:val="000000"/>
                <w:sz w:val="20"/>
              </w:rPr>
              <w:t>CP006–CP015 PASADOS</w:t>
            </w:r>
          </w:p>
        </w:tc>
        <w:tc>
          <w:tcPr>
            <w:tcW w:type="dxa" w:w="1728"/>
          </w:tcPr>
          <w:p>
            <w:pPr>
              <w:spacing w:before="40" w:after="40"/>
              <w:jc w:val="left"/>
            </w:pPr>
            <w:r/>
            <w:r>
              <w:rPr>
                <w:rFonts w:ascii="Times New Roman" w:hAnsi="Times New Roman"/>
                <w:b w:val="0"/>
                <w:color w:val="000000"/>
                <w:sz w:val="20"/>
              </w:rPr>
              <w:t>10/10 PASADOS</w:t>
            </w:r>
          </w:p>
        </w:tc>
        <w:tc>
          <w:tcPr>
            <w:tcW w:type="dxa" w:w="1584"/>
          </w:tcPr>
          <w:p>
            <w:pPr>
              <w:spacing w:before="40" w:after="40"/>
              <w:jc w:val="left"/>
            </w:pPr>
            <w:r/>
            <w:r>
              <w:rPr>
                <w:rFonts w:ascii="Times New Roman" w:hAnsi="Times New Roman"/>
                <w:b w:val="0"/>
                <w:color w:val="000000"/>
                <w:sz w:val="20"/>
              </w:rPr>
              <w:t>CP006–CP015</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Seguridad OWASP Top 10</w:t>
            </w:r>
          </w:p>
        </w:tc>
        <w:tc>
          <w:tcPr>
            <w:tcW w:type="dxa" w:w="2160"/>
          </w:tcPr>
          <w:p>
            <w:pPr>
              <w:spacing w:before="40" w:after="40"/>
              <w:jc w:val="left"/>
            </w:pPr>
            <w:r/>
            <w:r>
              <w:rPr>
                <w:rFonts w:ascii="Times New Roman" w:hAnsi="Times New Roman"/>
                <w:b w:val="0"/>
                <w:color w:val="000000"/>
                <w:sz w:val="20"/>
              </w:rPr>
              <w:t>0 vulnerabilidades críticas</w:t>
            </w:r>
          </w:p>
        </w:tc>
        <w:tc>
          <w:tcPr>
            <w:tcW w:type="dxa" w:w="1728"/>
          </w:tcPr>
          <w:p>
            <w:pPr>
              <w:spacing w:before="40" w:after="40"/>
              <w:jc w:val="left"/>
            </w:pPr>
            <w:r/>
            <w:r>
              <w:rPr>
                <w:rFonts w:ascii="Times New Roman" w:hAnsi="Times New Roman"/>
                <w:b w:val="0"/>
                <w:color w:val="000000"/>
                <w:sz w:val="20"/>
              </w:rPr>
              <w:t>0 hallazgos</w:t>
            </w:r>
          </w:p>
        </w:tc>
        <w:tc>
          <w:tcPr>
            <w:tcW w:type="dxa" w:w="1584"/>
          </w:tcPr>
          <w:p>
            <w:pPr>
              <w:spacing w:before="40" w:after="40"/>
              <w:jc w:val="left"/>
            </w:pPr>
            <w:r/>
            <w:r>
              <w:rPr>
                <w:rFonts w:ascii="Times New Roman" w:hAnsi="Times New Roman"/>
                <w:b w:val="0"/>
                <w:color w:val="000000"/>
                <w:sz w:val="20"/>
              </w:rPr>
              <w:t>OWASP ZAP</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Usabilidad SUS</w:t>
            </w:r>
          </w:p>
        </w:tc>
        <w:tc>
          <w:tcPr>
            <w:tcW w:type="dxa" w:w="2160"/>
          </w:tcPr>
          <w:p>
            <w:pPr>
              <w:spacing w:before="40" w:after="40"/>
              <w:jc w:val="left"/>
            </w:pPr>
            <w:r/>
            <w:r>
              <w:rPr>
                <w:rFonts w:ascii="Times New Roman" w:hAnsi="Times New Roman"/>
                <w:b w:val="0"/>
                <w:color w:val="000000"/>
                <w:sz w:val="20"/>
              </w:rPr>
              <w:t>Puntaje &gt; 70</w:t>
            </w:r>
          </w:p>
        </w:tc>
        <w:tc>
          <w:tcPr>
            <w:tcW w:type="dxa" w:w="1728"/>
          </w:tcPr>
          <w:p>
            <w:pPr>
              <w:spacing w:before="40" w:after="40"/>
              <w:jc w:val="left"/>
            </w:pPr>
            <w:r/>
            <w:r>
              <w:rPr>
                <w:rFonts w:ascii="Times New Roman" w:hAnsi="Times New Roman"/>
                <w:b w:val="0"/>
                <w:color w:val="000000"/>
                <w:sz w:val="20"/>
              </w:rPr>
              <w:t>76.5/100</w:t>
            </w:r>
          </w:p>
        </w:tc>
        <w:tc>
          <w:tcPr>
            <w:tcW w:type="dxa" w:w="1584"/>
          </w:tcPr>
          <w:p>
            <w:pPr>
              <w:spacing w:before="40" w:after="40"/>
              <w:jc w:val="left"/>
            </w:pPr>
            <w:r/>
            <w:r>
              <w:rPr>
                <w:rFonts w:ascii="Times New Roman" w:hAnsi="Times New Roman"/>
                <w:b w:val="0"/>
                <w:color w:val="000000"/>
                <w:sz w:val="20"/>
              </w:rPr>
              <w:t>Encuesta SUS</w:t>
            </w:r>
          </w:p>
        </w:tc>
        <w:tc>
          <w:tcPr>
            <w:tcW w:type="dxa" w:w="1296"/>
          </w:tcPr>
          <w:p>
            <w:pPr>
              <w:spacing w:before="40" w:after="40"/>
              <w:jc w:val="left"/>
            </w:pPr>
            <w:r/>
            <w:r>
              <w:rPr>
                <w:rFonts w:ascii="Times New Roman" w:hAnsi="Times New Roman"/>
                <w:b w:val="0"/>
                <w:color w:val="000000"/>
                <w:sz w:val="20"/>
              </w:rPr>
              <w:t>CUMPLE</w:t>
            </w:r>
          </w:p>
        </w:tc>
      </w:tr>
      <w:tr>
        <w:tc>
          <w:tcPr>
            <w:tcW w:type="dxa" w:w="2448"/>
          </w:tcPr>
          <w:p>
            <w:pPr>
              <w:spacing w:before="40" w:after="40"/>
              <w:jc w:val="left"/>
            </w:pPr>
            <w:r/>
            <w:r>
              <w:rPr>
                <w:rFonts w:ascii="Times New Roman" w:hAnsi="Times New Roman"/>
                <w:b w:val="0"/>
                <w:color w:val="000000"/>
                <w:sz w:val="20"/>
              </w:rPr>
              <w:t>Desempeño (500 usuarios)</w:t>
            </w:r>
          </w:p>
        </w:tc>
        <w:tc>
          <w:tcPr>
            <w:tcW w:type="dxa" w:w="2160"/>
          </w:tcPr>
          <w:p>
            <w:pPr>
              <w:spacing w:before="40" w:after="40"/>
              <w:jc w:val="left"/>
            </w:pPr>
            <w:r/>
            <w:r>
              <w:rPr>
                <w:rFonts w:ascii="Times New Roman" w:hAnsi="Times New Roman"/>
                <w:b w:val="0"/>
                <w:color w:val="000000"/>
                <w:sz w:val="20"/>
              </w:rPr>
              <w:t>Latencia p95 &lt; 2,000 ms</w:t>
            </w:r>
          </w:p>
        </w:tc>
        <w:tc>
          <w:tcPr>
            <w:tcW w:type="dxa" w:w="1728"/>
          </w:tcPr>
          <w:p>
            <w:pPr>
              <w:spacing w:before="40" w:after="40"/>
              <w:jc w:val="left"/>
            </w:pPr>
            <w:r/>
            <w:r>
              <w:rPr>
                <w:rFonts w:ascii="Times New Roman" w:hAnsi="Times New Roman"/>
                <w:b w:val="0"/>
                <w:color w:val="000000"/>
                <w:sz w:val="20"/>
              </w:rPr>
              <w:t>1,200 ms</w:t>
            </w:r>
          </w:p>
        </w:tc>
        <w:tc>
          <w:tcPr>
            <w:tcW w:type="dxa" w:w="1584"/>
          </w:tcPr>
          <w:p>
            <w:pPr>
              <w:spacing w:before="40" w:after="40"/>
              <w:jc w:val="left"/>
            </w:pPr>
            <w:r/>
            <w:r>
              <w:rPr>
                <w:rFonts w:ascii="Times New Roman" w:hAnsi="Times New Roman"/>
                <w:b w:val="0"/>
                <w:color w:val="000000"/>
                <w:sz w:val="20"/>
              </w:rPr>
              <w:t>JMeter</w:t>
            </w:r>
          </w:p>
        </w:tc>
        <w:tc>
          <w:tcPr>
            <w:tcW w:type="dxa" w:w="1296"/>
          </w:tcPr>
          <w:p>
            <w:pPr>
              <w:spacing w:before="40" w:after="40"/>
              <w:jc w:val="left"/>
            </w:pPr>
            <w:r/>
            <w:r>
              <w:rPr>
                <w:rFonts w:ascii="Times New Roman" w:hAnsi="Times New Roman"/>
                <w:b w:val="0"/>
                <w:color w:val="000000"/>
                <w:sz w:val="20"/>
              </w:rPr>
              <w:t>CUMPLE</w:t>
            </w:r>
          </w:p>
        </w:tc>
      </w:tr>
    </w:tbl>
    <w:p>
      <w:pPr>
        <w:spacing w:line="480" w:lineRule="auto" w:before="0" w:after="0"/>
        <w:jc w:val="center"/>
      </w:pPr>
      <w:r>
        <w:rPr>
          <w:rFonts w:ascii="Times New Roman" w:hAnsi="Times New Roman"/>
          <w:b/>
          <w:i w:val="0"/>
          <w:color w:val="000000"/>
          <w:sz w:val="24"/>
        </w:rPr>
        <w:t>8. Conclusiones y Recomendaciones</w:t>
      </w:r>
    </w:p>
    <w:p>
      <w:pPr>
        <w:spacing w:line="480" w:lineRule="auto" w:before="0" w:after="0"/>
        <w:jc w:val="left"/>
      </w:pPr>
      <w:r>
        <w:rPr>
          <w:rFonts w:ascii="Times New Roman" w:hAnsi="Times New Roman"/>
          <w:b/>
          <w:i w:val="0"/>
          <w:color w:val="000000"/>
          <w:sz w:val="24"/>
        </w:rPr>
        <w:t>8.1 Conclusión General</w:t>
      </w:r>
    </w:p>
    <w:p>
      <w:pPr>
        <w:spacing w:line="480" w:lineRule="auto" w:before="0" w:after="0"/>
        <w:ind w:firstLine="720"/>
        <w:jc w:val="left"/>
      </w:pPr>
      <w:r>
        <w:rPr>
          <w:rFonts w:ascii="Times New Roman" w:hAnsi="Times New Roman"/>
          <w:b w:val="0"/>
          <w:i w:val="0"/>
          <w:color w:val="000000"/>
          <w:sz w:val="24"/>
        </w:rPr>
        <w:t>Los resultados de la validación demuestran que SilaDocs v1.0 cumple satisfactoriamente con todos los criterios de calidad definidos en el Protocolo de Validación (Documento 1) y las métricas ISO/IEC 25010:2023 (Documento 2). La tasa de aprobación funcional del 100% (20/20 casos), la ausencia de vulnerabilidades de seguridad críticas, la puntuación SUS de 76.5/100 (calificación "Buena", Bangor et al., 2008) y la latencia p95 de 1,200 ms bajo 500 usuarios concurrentes posicionan al sistema como un producto listo para implementación en producción, con recomendaciones de mejora para escalar a mayor número de usuarios.</w:t>
      </w:r>
    </w:p>
    <w:p>
      <w:pPr>
        <w:spacing w:line="480" w:lineRule="auto" w:before="0" w:after="0"/>
        <w:jc w:val="left"/>
      </w:pPr>
      <w:r>
        <w:rPr>
          <w:rFonts w:ascii="Times New Roman" w:hAnsi="Times New Roman"/>
          <w:b/>
          <w:i w:val="0"/>
          <w:color w:val="000000"/>
          <w:sz w:val="24"/>
        </w:rPr>
        <w:t>8.2 Recomendaciones Técnicas</w:t>
      </w:r>
    </w:p>
    <w:p>
      <w:pPr>
        <w:spacing w:line="480" w:lineRule="auto" w:before="0" w:after="0"/>
        <w:ind w:firstLine="720"/>
        <w:jc w:val="left"/>
      </w:pPr>
      <w:r>
        <w:rPr>
          <w:rFonts w:ascii="Times New Roman" w:hAnsi="Times New Roman"/>
          <w:b w:val="0"/>
          <w:i w:val="0"/>
          <w:color w:val="000000"/>
          <w:sz w:val="24"/>
        </w:rPr>
        <w:t>Se recomiendan las siguientes acciones de mejora, priorizadas por impacto en la calidad:</w:t>
      </w:r>
    </w:p>
    <w:p>
      <w:pPr>
        <w:spacing w:line="480" w:lineRule="auto"/>
        <w:ind w:left="720"/>
      </w:pPr>
      <w:r>
        <w:rPr>
          <w:rFonts w:ascii="Times New Roman" w:hAnsi="Times New Roman"/>
          <w:b/>
          <w:i w:val="0"/>
          <w:color w:val="000000"/>
          <w:sz w:val="24"/>
        </w:rPr>
        <w:t xml:space="preserve">(1) Implementar caché Redis. </w:t>
      </w:r>
      <w:r>
        <w:rPr>
          <w:rFonts w:ascii="Times New Roman" w:hAnsi="Times New Roman"/>
          <w:b w:val="0"/>
          <w:i w:val="0"/>
          <w:color w:val="000000"/>
          <w:sz w:val="24"/>
        </w:rPr>
        <w:t>para reducir latencia p95 a &lt; 1,000 ms bajo 1,000+ usuarios concurrentes (Nygard, 2018).</w:t>
      </w:r>
    </w:p>
    <w:p>
      <w:pPr>
        <w:spacing w:line="480" w:lineRule="auto"/>
        <w:ind w:left="720"/>
      </w:pPr>
      <w:r>
        <w:rPr>
          <w:rFonts w:ascii="Times New Roman" w:hAnsi="Times New Roman"/>
          <w:b/>
          <w:i w:val="0"/>
          <w:color w:val="000000"/>
          <w:sz w:val="24"/>
        </w:rPr>
        <w:t xml:space="preserve">(2) Configurar monitoreo APM. </w:t>
      </w:r>
      <w:r>
        <w:rPr>
          <w:rFonts w:ascii="Times New Roman" w:hAnsi="Times New Roman"/>
          <w:b w:val="0"/>
          <w:i w:val="0"/>
          <w:color w:val="000000"/>
          <w:sz w:val="24"/>
        </w:rPr>
        <w:t>con Azure Application Insights para métricas de disponibilidad en tiempo real y alertas automáticas.</w:t>
      </w:r>
    </w:p>
    <w:p>
      <w:pPr>
        <w:spacing w:line="480" w:lineRule="auto"/>
        <w:ind w:left="720"/>
      </w:pPr>
      <w:r>
        <w:rPr>
          <w:rFonts w:ascii="Times New Roman" w:hAnsi="Times New Roman"/>
          <w:b/>
          <w:i w:val="0"/>
          <w:color w:val="000000"/>
          <w:sz w:val="24"/>
        </w:rPr>
        <w:t xml:space="preserve">(3) Ejecutar auditoría de penetración. </w:t>
      </w:r>
      <w:r>
        <w:rPr>
          <w:rFonts w:ascii="Times New Roman" w:hAnsi="Times New Roman"/>
          <w:b w:val="0"/>
          <w:i w:val="0"/>
          <w:color w:val="000000"/>
          <w:sz w:val="24"/>
        </w:rPr>
        <w:t>con especialista externo antes del Go-Live oficial, según recomendaciones OWASP (2021).</w:t>
      </w:r>
    </w:p>
    <w:p>
      <w:pPr>
        <w:spacing w:line="480" w:lineRule="auto"/>
        <w:ind w:left="720"/>
      </w:pPr>
      <w:r>
        <w:rPr>
          <w:rFonts w:ascii="Times New Roman" w:hAnsi="Times New Roman"/>
          <w:b/>
          <w:i w:val="0"/>
          <w:color w:val="000000"/>
          <w:sz w:val="24"/>
        </w:rPr>
        <w:t xml:space="preserve">(4) Mejorar documentación de ayuda. </w:t>
      </w:r>
      <w:r>
        <w:rPr>
          <w:rFonts w:ascii="Times New Roman" w:hAnsi="Times New Roman"/>
          <w:b w:val="0"/>
          <w:i w:val="0"/>
          <w:color w:val="000000"/>
          <w:sz w:val="24"/>
        </w:rPr>
        <w:t>en la interfaz de usuario (Heurística H10, Nielsen, 1994) para reducir tiempo de aprendizaje.</w:t>
      </w:r>
    </w:p>
    <w:p>
      <w:pPr>
        <w:spacing w:line="480" w:lineRule="auto"/>
        <w:ind w:left="720"/>
      </w:pPr>
      <w:r>
        <w:rPr>
          <w:rFonts w:ascii="Times New Roman" w:hAnsi="Times New Roman"/>
          <w:b/>
          <w:i w:val="0"/>
          <w:color w:val="000000"/>
          <w:sz w:val="24"/>
        </w:rPr>
        <w:t xml:space="preserve">(5) Fase 2 — Integraciones externas. </w:t>
      </w:r>
      <w:r>
        <w:rPr>
          <w:rFonts w:ascii="Times New Roman" w:hAnsi="Times New Roman"/>
          <w:b w:val="0"/>
          <w:i w:val="0"/>
          <w:color w:val="000000"/>
          <w:sz w:val="24"/>
        </w:rPr>
        <w:t>implementar conectores Google Drive y OneDrive, y SSO mediante SAML 2.0 / OIDC.</w:t>
      </w:r>
    </w:p>
    <w:p>
      <w:r>
        <w:br w:type="page"/>
      </w:r>
    </w:p>
    <w:p>
      <w:pPr>
        <w:spacing w:line="480" w:lineRule="auto" w:before="0" w:after="0"/>
        <w:jc w:val="center"/>
      </w:pPr>
      <w:r>
        <w:rPr>
          <w:rFonts w:ascii="Times New Roman" w:hAnsi="Times New Roman"/>
          <w:b/>
          <w:i w:val="0"/>
          <w:color w:val="000000"/>
          <w:sz w:val="24"/>
        </w:rPr>
        <w:t>Aprobación del Informe de Validación</w:t>
      </w:r>
    </w:p>
    <w:p>
      <w:pPr>
        <w:spacing w:line="480" w:lineRule="auto" w:before="0" w:after="0"/>
        <w:ind w:firstLine="720"/>
        <w:jc w:val="left"/>
      </w:pPr>
      <w:r>
        <w:rPr>
          <w:rFonts w:ascii="Times New Roman" w:hAnsi="Times New Roman"/>
          <w:b w:val="0"/>
          <w:i w:val="0"/>
          <w:color w:val="000000"/>
          <w:sz w:val="24"/>
        </w:rPr>
        <w:t>El presente informe ha sido revisado y aprobado por los responsables del proceso de validación, confirmando que SilaDocs v1.0 cumple con los criterios de aceptación establecidos y está autorizado para su paso a producción, sujeto a la implementación de las recomendaciones técnicas de la sección 8.2.</w:t>
      </w:r>
    </w:p>
    <w:p>
      <w:pPr>
        <w:spacing w:line="480" w:lineRule="auto" w:before="0" w:after="0"/>
        <w:jc w:val="left"/>
      </w:pPr>
    </w:p>
    <w:p>
      <w:pPr>
        <w:spacing w:line="480" w:lineRule="auto"/>
        <w:jc w:val="center"/>
      </w:pPr>
      <w:r>
        <w:rPr>
          <w:rFonts w:ascii="Times New Roman" w:hAnsi="Times New Roman"/>
          <w:b w:val="0"/>
          <w:i w:val="0"/>
          <w:color w:val="000000"/>
          <w:sz w:val="24"/>
        </w:rPr>
        <w:t>Tabla 7</w:t>
      </w:r>
    </w:p>
    <w:p>
      <w:pPr>
        <w:spacing w:line="480" w:lineRule="auto"/>
        <w:jc w:val="left"/>
      </w:pPr>
      <w:r>
        <w:rPr>
          <w:rFonts w:ascii="Times New Roman" w:hAnsi="Times New Roman"/>
          <w:b w:val="0"/>
          <w:i/>
          <w:color w:val="000000"/>
          <w:sz w:val="24"/>
        </w:rPr>
        <w:t>Firmas de Aprobación del Informe de Validación</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0D0D0"/>
          </w:tcPr>
          <w:p>
            <w:pPr>
              <w:spacing w:before="40" w:after="40"/>
              <w:jc w:val="left"/>
            </w:pPr>
            <w:r/>
            <w:r>
              <w:rPr>
                <w:rFonts w:ascii="Times New Roman" w:hAnsi="Times New Roman"/>
                <w:b/>
                <w:color w:val="000000"/>
                <w:sz w:val="20"/>
              </w:rPr>
              <w:t>Rol</w:t>
            </w:r>
          </w:p>
        </w:tc>
        <w:tc>
          <w:tcPr>
            <w:tcW w:type="dxa" w:w="4032"/>
            <w:shd w:val="clear" w:color="auto" w:fill="D0D0D0"/>
          </w:tcPr>
          <w:p>
            <w:pPr>
              <w:spacing w:before="40" w:after="40"/>
              <w:jc w:val="left"/>
            </w:pPr>
            <w:r/>
            <w:r>
              <w:rPr>
                <w:rFonts w:ascii="Times New Roman" w:hAnsi="Times New Roman"/>
                <w:b/>
                <w:color w:val="000000"/>
                <w:sz w:val="20"/>
              </w:rPr>
              <w:t>Nombre y Firma</w:t>
            </w:r>
          </w:p>
        </w:tc>
        <w:tc>
          <w:tcPr>
            <w:tcW w:type="dxa" w:w="2736"/>
            <w:shd w:val="clear" w:color="auto" w:fill="D0D0D0"/>
          </w:tcPr>
          <w:p>
            <w:pPr>
              <w:spacing w:before="40" w:after="40"/>
              <w:jc w:val="left"/>
            </w:pPr>
            <w:r/>
            <w:r>
              <w:rPr>
                <w:rFonts w:ascii="Times New Roman" w:hAnsi="Times New Roman"/>
                <w:b/>
                <w:color w:val="000000"/>
                <w:sz w:val="20"/>
              </w:rPr>
              <w:t>Fecha</w:t>
            </w:r>
          </w:p>
        </w:tc>
      </w:tr>
      <w:tr>
        <w:tc>
          <w:tcPr>
            <w:tcW w:type="dxa" w:w="2880"/>
          </w:tcPr>
          <w:p>
            <w:pPr>
              <w:spacing w:before="40" w:after="40"/>
              <w:jc w:val="left"/>
            </w:pPr>
            <w:r/>
            <w:r>
              <w:rPr>
                <w:rFonts w:ascii="Times New Roman" w:hAnsi="Times New Roman"/>
                <w:b w:val="0"/>
                <w:color w:val="000000"/>
                <w:sz w:val="20"/>
              </w:rPr>
              <w:t>QA Engineer / Responsable de Pruebas</w:t>
            </w:r>
          </w:p>
        </w:tc>
        <w:tc>
          <w:tcPr>
            <w:tcW w:type="dxa" w:w="4032"/>
          </w:tcPr>
          <w:p>
            <w:pPr>
              <w:spacing w:before="40" w:after="40"/>
              <w:jc w:val="left"/>
            </w:pPr>
            <w:r/>
            <w:r>
              <w:rPr>
                <w:rFonts w:ascii="Times New Roman" w:hAnsi="Times New Roman"/>
                <w:b w:val="0"/>
                <w:color w:val="000000"/>
                <w:sz w:val="20"/>
              </w:rPr>
              <w:t>___________________________</w:t>
            </w:r>
          </w:p>
        </w:tc>
        <w:tc>
          <w:tcPr>
            <w:tcW w:type="dxa" w:w="2736"/>
          </w:tcPr>
          <w:p>
            <w:pPr>
              <w:spacing w:before="40" w:after="40"/>
              <w:jc w:val="left"/>
            </w:pPr>
            <w:r/>
            <w:r>
              <w:rPr>
                <w:rFonts w:ascii="Times New Roman" w:hAnsi="Times New Roman"/>
                <w:b w:val="0"/>
                <w:color w:val="000000"/>
                <w:sz w:val="20"/>
              </w:rPr>
              <w:t>___/___/2026</w:t>
            </w:r>
          </w:p>
        </w:tc>
      </w:tr>
      <w:tr>
        <w:tc>
          <w:tcPr>
            <w:tcW w:type="dxa" w:w="2880"/>
          </w:tcPr>
          <w:p>
            <w:pPr>
              <w:spacing w:before="40" w:after="40"/>
              <w:jc w:val="left"/>
            </w:pPr>
            <w:r/>
            <w:r>
              <w:rPr>
                <w:rFonts w:ascii="Times New Roman" w:hAnsi="Times New Roman"/>
                <w:b w:val="0"/>
                <w:color w:val="000000"/>
                <w:sz w:val="20"/>
              </w:rPr>
              <w:t>Arquitecto de Software</w:t>
            </w:r>
          </w:p>
        </w:tc>
        <w:tc>
          <w:tcPr>
            <w:tcW w:type="dxa" w:w="4032"/>
          </w:tcPr>
          <w:p>
            <w:pPr>
              <w:spacing w:before="40" w:after="40"/>
              <w:jc w:val="left"/>
            </w:pPr>
            <w:r/>
            <w:r>
              <w:rPr>
                <w:rFonts w:ascii="Times New Roman" w:hAnsi="Times New Roman"/>
                <w:b w:val="0"/>
                <w:color w:val="000000"/>
                <w:sz w:val="20"/>
              </w:rPr>
              <w:t>___________________________</w:t>
            </w:r>
          </w:p>
        </w:tc>
        <w:tc>
          <w:tcPr>
            <w:tcW w:type="dxa" w:w="2736"/>
          </w:tcPr>
          <w:p>
            <w:pPr>
              <w:spacing w:before="40" w:after="40"/>
              <w:jc w:val="left"/>
            </w:pPr>
            <w:r/>
            <w:r>
              <w:rPr>
                <w:rFonts w:ascii="Times New Roman" w:hAnsi="Times New Roman"/>
                <w:b w:val="0"/>
                <w:color w:val="000000"/>
                <w:sz w:val="20"/>
              </w:rPr>
              <w:t>___/___/2026</w:t>
            </w:r>
          </w:p>
        </w:tc>
      </w:tr>
      <w:tr>
        <w:tc>
          <w:tcPr>
            <w:tcW w:type="dxa" w:w="2880"/>
          </w:tcPr>
          <w:p>
            <w:pPr>
              <w:spacing w:before="40" w:after="40"/>
              <w:jc w:val="left"/>
            </w:pPr>
            <w:r/>
            <w:r>
              <w:rPr>
                <w:rFonts w:ascii="Times New Roman" w:hAnsi="Times New Roman"/>
                <w:b w:val="0"/>
                <w:color w:val="000000"/>
                <w:sz w:val="20"/>
              </w:rPr>
              <w:t>Product Owner</w:t>
            </w:r>
          </w:p>
        </w:tc>
        <w:tc>
          <w:tcPr>
            <w:tcW w:type="dxa" w:w="4032"/>
          </w:tcPr>
          <w:p>
            <w:pPr>
              <w:spacing w:before="40" w:after="40"/>
              <w:jc w:val="left"/>
            </w:pPr>
            <w:r/>
            <w:r>
              <w:rPr>
                <w:rFonts w:ascii="Times New Roman" w:hAnsi="Times New Roman"/>
                <w:b w:val="0"/>
                <w:color w:val="000000"/>
                <w:sz w:val="20"/>
              </w:rPr>
              <w:t>___________________________</w:t>
            </w:r>
          </w:p>
        </w:tc>
        <w:tc>
          <w:tcPr>
            <w:tcW w:type="dxa" w:w="2736"/>
          </w:tcPr>
          <w:p>
            <w:pPr>
              <w:spacing w:before="40" w:after="40"/>
              <w:jc w:val="left"/>
            </w:pPr>
            <w:r/>
            <w:r>
              <w:rPr>
                <w:rFonts w:ascii="Times New Roman" w:hAnsi="Times New Roman"/>
                <w:b w:val="0"/>
                <w:color w:val="000000"/>
                <w:sz w:val="20"/>
              </w:rPr>
              <w:t>___/___/2026</w:t>
            </w:r>
          </w:p>
        </w:tc>
      </w:tr>
      <w:tr>
        <w:tc>
          <w:tcPr>
            <w:tcW w:type="dxa" w:w="2880"/>
          </w:tcPr>
          <w:p>
            <w:pPr>
              <w:spacing w:before="40" w:after="40"/>
              <w:jc w:val="left"/>
            </w:pPr>
            <w:r/>
            <w:r>
              <w:rPr>
                <w:rFonts w:ascii="Times New Roman" w:hAnsi="Times New Roman"/>
                <w:b w:val="0"/>
                <w:color w:val="000000"/>
                <w:sz w:val="20"/>
              </w:rPr>
              <w:t>Director del Proyecto</w:t>
            </w:r>
          </w:p>
        </w:tc>
        <w:tc>
          <w:tcPr>
            <w:tcW w:type="dxa" w:w="4032"/>
          </w:tcPr>
          <w:p>
            <w:pPr>
              <w:spacing w:before="40" w:after="40"/>
              <w:jc w:val="left"/>
            </w:pPr>
            <w:r/>
            <w:r>
              <w:rPr>
                <w:rFonts w:ascii="Times New Roman" w:hAnsi="Times New Roman"/>
                <w:b w:val="0"/>
                <w:color w:val="000000"/>
                <w:sz w:val="20"/>
              </w:rPr>
              <w:t>___________________________</w:t>
            </w:r>
          </w:p>
        </w:tc>
        <w:tc>
          <w:tcPr>
            <w:tcW w:type="dxa" w:w="2736"/>
          </w:tcPr>
          <w:p>
            <w:pPr>
              <w:spacing w:before="40" w:after="40"/>
              <w:jc w:val="left"/>
            </w:pPr>
            <w:r/>
            <w:r>
              <w:rPr>
                <w:rFonts w:ascii="Times New Roman" w:hAnsi="Times New Roman"/>
                <w:b w:val="0"/>
                <w:color w:val="000000"/>
                <w:sz w:val="20"/>
              </w:rPr>
              <w:t>___/___/2026</w:t>
            </w:r>
          </w:p>
        </w:tc>
      </w:tr>
    </w:tbl>
    <w:p>
      <w:r>
        <w:br w:type="page"/>
      </w:r>
    </w:p>
    <w:p>
      <w:pPr>
        <w:spacing w:line="480" w:lineRule="auto" w:before="0" w:after="0"/>
        <w:jc w:val="center"/>
      </w:pPr>
      <w:r>
        <w:rPr>
          <w:rFonts w:ascii="Times New Roman" w:hAnsi="Times New Roman"/>
          <w:b/>
          <w:i w:val="0"/>
          <w:color w:val="000000"/>
          <w:sz w:val="24"/>
        </w:rPr>
        <w:t>Referencias</w:t>
      </w:r>
    </w:p>
    <w:p>
      <w:pPr>
        <w:spacing w:line="480" w:lineRule="auto"/>
        <w:ind w:left="720" w:hanging="720"/>
      </w:pPr>
      <w:r>
        <w:rPr>
          <w:rFonts w:ascii="Times New Roman" w:hAnsi="Times New Roman"/>
          <w:b w:val="0"/>
          <w:i w:val="0"/>
          <w:color w:val="000000"/>
          <w:sz w:val="24"/>
        </w:rPr>
        <w:t>Ammann, P., &amp; Offutt, J. (2016). Introduction to software testing (2.ª ed.). Cambridge University Press. https://doi.org/10.1017/9781316771273</w:t>
      </w:r>
    </w:p>
    <w:p>
      <w:pPr>
        <w:spacing w:line="480" w:lineRule="auto"/>
        <w:ind w:left="720" w:hanging="720"/>
      </w:pPr>
      <w:r>
        <w:rPr>
          <w:rFonts w:ascii="Times New Roman" w:hAnsi="Times New Roman"/>
          <w:b w:val="0"/>
          <w:i w:val="0"/>
          <w:color w:val="000000"/>
          <w:sz w:val="24"/>
        </w:rPr>
        <w:t>Bangor, A., Kortum, P. T., &amp; Miller, J. T. (2008). An empirical evaluation of the System Usability Scale. International Journal of Human-Computer Interaction, 24(6), 574–594. https://doi.org/10.1080/10447310802205776</w:t>
      </w:r>
    </w:p>
    <w:p>
      <w:pPr>
        <w:spacing w:line="480" w:lineRule="auto"/>
        <w:ind w:left="720" w:hanging="720"/>
      </w:pPr>
      <w:r>
        <w:rPr>
          <w:rFonts w:ascii="Times New Roman" w:hAnsi="Times New Roman"/>
          <w:b w:val="0"/>
          <w:i w:val="0"/>
          <w:color w:val="000000"/>
          <w:sz w:val="24"/>
        </w:rPr>
        <w:t>Brooke, J. (1996). SUS: A "quick and dirty" usability scale. En P. W. Jordan, B. Thomas, B. A. Weerdmeester &amp; I. L. McClelland (Eds.), Usability evaluation in industry (pp. 189–194). Taylor &amp; Francis.</w:t>
      </w:r>
    </w:p>
    <w:p>
      <w:pPr>
        <w:spacing w:line="480" w:lineRule="auto"/>
        <w:ind w:left="720" w:hanging="720"/>
      </w:pPr>
      <w:r>
        <w:rPr>
          <w:rFonts w:ascii="Times New Roman" w:hAnsi="Times New Roman"/>
          <w:b w:val="0"/>
          <w:i w:val="0"/>
          <w:color w:val="000000"/>
          <w:sz w:val="24"/>
        </w:rPr>
        <w:t>Hyperledger Foundation. (2023). Hyperledger Fabric documentation (v2.5). Linux Foundation. https://hyperledger-fabric.readthedocs.io/</w:t>
      </w:r>
    </w:p>
    <w:p>
      <w:pPr>
        <w:spacing w:line="480" w:lineRule="auto"/>
        <w:ind w:left="720" w:hanging="720"/>
      </w:pPr>
      <w:r>
        <w:rPr>
          <w:rFonts w:ascii="Times New Roman" w:hAnsi="Times New Roman"/>
          <w:b w:val="0"/>
          <w:i w:val="0"/>
          <w:color w:val="000000"/>
          <w:sz w:val="24"/>
        </w:rPr>
        <w:t>IEEE. (2008). IEEE 829-2008: Standard for software and system test documentation. Institute of Electrical and Electronics Engineers. https://doi.org/10.1109/IEEESTD.2008.4578383</w:t>
      </w:r>
    </w:p>
    <w:p>
      <w:pPr>
        <w:spacing w:line="480" w:lineRule="auto"/>
        <w:ind w:left="720" w:hanging="720"/>
      </w:pPr>
      <w:r>
        <w:rPr>
          <w:rFonts w:ascii="Times New Roman" w:hAnsi="Times New Roman"/>
          <w:b w:val="0"/>
          <w:i w:val="0"/>
          <w:color w:val="000000"/>
          <w:sz w:val="24"/>
        </w:rPr>
        <w:t>IEEE. (2009). IEEE 1044-2009: Standard classification for software anomalies. Institute of Electrical and Electronics Engineers. https://doi.org/10.1109/IEEESTD.2010.5399061</w:t>
      </w:r>
    </w:p>
    <w:p>
      <w:pPr>
        <w:spacing w:line="480" w:lineRule="auto"/>
        <w:ind w:left="720" w:hanging="720"/>
      </w:pPr>
      <w:r>
        <w:rPr>
          <w:rFonts w:ascii="Times New Roman" w:hAnsi="Times New Roman"/>
          <w:b w:val="0"/>
          <w:i w:val="0"/>
          <w:color w:val="000000"/>
          <w:sz w:val="24"/>
        </w:rPr>
        <w:t>ISO/IEC. (2016). ISO/IEC 25023:2016 — Systems and software engineering — Systems and software Quality Requirements and Evaluation (SQuaRE) — Measurement of system and software product quality. International Organization for Standardization.</w:t>
      </w:r>
    </w:p>
    <w:p>
      <w:pPr>
        <w:spacing w:line="480" w:lineRule="auto"/>
        <w:ind w:left="720" w:hanging="720"/>
      </w:pPr>
      <w:r>
        <w:rPr>
          <w:rFonts w:ascii="Times New Roman" w:hAnsi="Times New Roman"/>
          <w:b w:val="0"/>
          <w:i w:val="0"/>
          <w:color w:val="000000"/>
          <w:sz w:val="24"/>
        </w:rPr>
        <w:t>ISO/IEC. (2023). ISO/IEC 25010:2023 — Systems and software engineering — Systems and software Quality Requirements and Evaluation (SQuaRE) — Product quality model. International Organization for Standardization.</w:t>
      </w:r>
    </w:p>
    <w:p>
      <w:pPr>
        <w:spacing w:line="480" w:lineRule="auto"/>
        <w:ind w:left="720" w:hanging="720"/>
      </w:pPr>
      <w:r>
        <w:rPr>
          <w:rFonts w:ascii="Times New Roman" w:hAnsi="Times New Roman"/>
          <w:b w:val="0"/>
          <w:i w:val="0"/>
          <w:color w:val="000000"/>
          <w:sz w:val="24"/>
        </w:rPr>
        <w:t>Nielsen, J. (1994). Usability engineering. Morgan Kaufmann.</w:t>
      </w:r>
    </w:p>
    <w:p>
      <w:pPr>
        <w:spacing w:line="480" w:lineRule="auto"/>
        <w:ind w:left="720" w:hanging="720"/>
      </w:pPr>
      <w:r>
        <w:rPr>
          <w:rFonts w:ascii="Times New Roman" w:hAnsi="Times New Roman"/>
          <w:b w:val="0"/>
          <w:i w:val="0"/>
          <w:color w:val="000000"/>
          <w:sz w:val="24"/>
        </w:rPr>
        <w:t>Nygard, M. T. (2018). Release it! Design and deploy production-ready software (2.ª ed.). Pragmatic Bookshelf.</w:t>
      </w:r>
    </w:p>
    <w:p>
      <w:pPr>
        <w:spacing w:line="480" w:lineRule="auto"/>
        <w:ind w:left="720" w:hanging="720"/>
      </w:pPr>
      <w:r>
        <w:rPr>
          <w:rFonts w:ascii="Times New Roman" w:hAnsi="Times New Roman"/>
          <w:b w:val="0"/>
          <w:i w:val="0"/>
          <w:color w:val="000000"/>
          <w:sz w:val="24"/>
        </w:rPr>
        <w:t>OWASP. (2021). OWASP Top 10:2021 — Top ten web application security risks. Open Web Application Security Project. https://owasp.org/Top10/</w:t>
      </w:r>
    </w:p>
    <w:p>
      <w:pPr>
        <w:spacing w:line="480" w:lineRule="auto"/>
        <w:ind w:left="720" w:hanging="720"/>
      </w:pPr>
      <w:r>
        <w:rPr>
          <w:rFonts w:ascii="Times New Roman" w:hAnsi="Times New Roman"/>
          <w:b w:val="0"/>
          <w:i w:val="0"/>
          <w:color w:val="000000"/>
          <w:sz w:val="24"/>
        </w:rPr>
        <w:t>Pressman, R. S., &amp; Maxim, B. R. (2015). Software engineering: A practitioner's approach (8.ª ed.). McGraw-Hill Education.</w:t>
      </w:r>
    </w:p>
    <w:p>
      <w:pPr>
        <w:spacing w:line="480" w:lineRule="auto"/>
        <w:ind w:left="720" w:hanging="720"/>
      </w:pPr>
      <w:r>
        <w:rPr>
          <w:rFonts w:ascii="Times New Roman" w:hAnsi="Times New Roman"/>
          <w:b w:val="0"/>
          <w:i w:val="0"/>
          <w:color w:val="000000"/>
          <w:sz w:val="24"/>
        </w:rPr>
        <w:t>Reichheld, F. F. (2003). The one number you need to grow. Harvard Business Review, 81(12), 46–54.</w:t>
      </w:r>
    </w:p>
    <w:p>
      <w:pPr>
        <w:spacing w:line="480" w:lineRule="auto"/>
        <w:ind w:left="720" w:hanging="720"/>
      </w:pPr>
      <w:r>
        <w:rPr>
          <w:rFonts w:ascii="Times New Roman" w:hAnsi="Times New Roman"/>
          <w:b w:val="0"/>
          <w:i w:val="0"/>
          <w:color w:val="000000"/>
          <w:sz w:val="24"/>
        </w:rPr>
        <w:t>W3C. (2023). Web Content Accessibility Guidelines (WCAG) 2.1. World Wide Web Consortium. https://www.w3.org/TR/WCAG21/</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b w:val="0"/>
        <w:i w:val="0"/>
        <w:color w:val="000000"/>
        <w:sz w:val="24"/>
      </w:rPr>
      <w:t>SILADOCS: VALIDACIÓN DE PRODUCTO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