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67,6 % sentencias, 59,1 % ramas, 69,0 % funciones y 71,3 %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2026-10-21T20:56:25.567Z</dcterms:created>
  <dcterms:modified xsi:type="dcterms:W3CDTF">2026-10-21T20:56:25.567Z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