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DUOC UC · ESCUELA DE INFORMÁTICA Y TELECOMUNICACIONES</w:t>
      </w:r>
    </w:p>
    <w:p>
      <w:pPr>
        <w:pBdr>
          <w:bottom w:val="single" w:color="111111" w:sz="6" w:space="1"/>
        </w:pBd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Documento de cobertura de testing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Proyecto: Forever Ink · Estudio de tatuajes</w:t>
      </w:r>
    </w:p>
    <w:p>
      <w:pPr>
        <w:spacing w:after="3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Pruebas unitarias del frontend con Jasmine y Karma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Evaluación Parcial 2 · Desarrollo Fullstack II (DSY1104)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21 de octubre de 2026</w:t>
      </w:r>
    </w:p>
    <w:p>
      <w:pPr>
        <w:pBdr>
          <w:bottom w:val="single" w:color="111111" w:sz="6" w:space="1"/>
        </w:pBdr>
        <w:spacing w:after="160"/>
      </w:pP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 y alcance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documento valida el alcance de los elementos cubiertos por las pruebas unitarias del frontend de </w:t>
      </w:r>
      <w:r>
        <w:rPr>
          <w:rFonts w:ascii="Arial" w:cs="Arial" w:eastAsia="Arial" w:hAnsi="Arial"/>
          <w:b/>
          <w:bCs/>
        </w:rPr>
        <w:t xml:space="preserve">Forever Ink</w:t>
      </w:r>
      <w:r>
        <w:rPr>
          <w:rFonts w:ascii="Arial" w:cs="Arial" w:eastAsia="Arial" w:hAnsi="Arial"/>
        </w:rPr>
        <w:t xml:space="preserve">: qué se probó, cómo se configuró el entorno (Jasmine y Karma), los resultados y la cobertura obtenida.</w:t>
      </w:r>
    </w:p>
    <w:p>
      <w:pPr>
        <w:spacing w:after="120" w:line="276"/>
      </w:pPr>
      <w:r>
        <w:rPr>
          <w:rFonts w:ascii="Arial" w:cs="Arial" w:eastAsia="Arial" w:hAnsi="Arial"/>
        </w:rPr>
        <w:t>El proyecto tiene 15 pruebas: 10 de defensa (test/defensa.spec.jsx), que siguen la propuesta de pruebas del Anexo 1 (renderizado correcto, renderizado condicional, props, estado y eventos) y los conceptos de las guías 2.3.2 y 2.3.5 y de la clase React IV (hook personalizado, mocks y rutas con MemoryRouter), y 5 complementarias (test/complementarias.spec.jsx) que verifican el CRUD del archivo de datos, el flujo de compra aprobada, todas las vistas, la conexión con producto-service (mock de la API) y el manejo de errores. Las pruebas no necesitan los microservicios encendidos: la API se simula con mocks.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Pruebas ejecutadas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15 pruebas en 2 archivos .spec.jsx (10 de defensa + 5 complementarias)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Pruebas exitosas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15 de 15 (0 fallidas)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Cobertura de los archivos probados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80,4 % de sentencias en los 18 archivos que las pruebas tienen como objetivo (sección 4.2)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Cobertura global de sentencias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66,0 % (771 de 1169) sobre todo src/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Cobertura global de ramas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57,2 %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Cobertura global de funciones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65,9 %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Cobertura global de líneas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70,1 %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Tiempo de ejecución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Unos 4 segundos (Chrome Headless)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Herramientas y configuración del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Función en el proyecto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Jasmine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Marco de pruebas: describe, it, expect, beforeEach, afterEach, jasmine.createSpy y jasmine.createSpyObj. Comprobaciones con toBe, toBeTruthy, toContain y not (como en React IV).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Karma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 las pruebas dentro de un navegador real (Chrome sin ventana), por lo que el DOM es el real.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karma-webpack + babel-loader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Transforman JSX y módulos ES para que el navegador entienda el código.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babel-plugin-istanbul + karma-coverage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Miden qué partes del código se ejecutaron y generan el informe de cobertura.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@testing-library/react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>Dibuja componentes (render), prueba hooks (renderHook y act), simula eventos (fireEvent), espera cambios asíncronos (waitFor) y, junto a MemoryRouter, simula rutas sin navegador (React IV).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2.1. Archivos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FEFEF" w:val="clear"/>
        </w:rPr>
        <w:t>karma.conf.js</w:t>
      </w:r>
      <w:r>
        <w:rPr>
          <w:rFonts w:ascii="Arial" w:cs="Arial" w:eastAsia="Arial" w:hAnsi="Arial"/>
        </w:rPr>
        <w:t>: configuración de Karma como la guía 2.3.2 (frameworks jasmine, browsers ChromeHeadless, reporters progress y coverage, coverageReporter en coverage/), más webpack y babel para JSX (guía 2.3.5).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FEFEF" w:val="clear"/>
        </w:rPr>
        <w:t>test/index.js</w:t>
      </w:r>
      <w:r>
        <w:rPr>
          <w:rFonts w:ascii="Arial" w:cs="Arial" w:eastAsia="Arial" w:hAnsi="Arial"/>
        </w:rPr>
        <w:t xml:space="preserve">: carga las pruebas y </w:t>
      </w:r>
      <w:r>
        <w:rPr>
          <w:rFonts w:ascii="Arial" w:cs="Arial" w:eastAsia="Arial" w:hAnsi="Arial"/>
          <w:b/>
          <w:bCs/>
        </w:rPr>
        <w:t>todo el código de src/</w:t>
      </w:r>
      <w:r>
        <w:rPr>
          <w:rFonts w:ascii="Arial" w:cs="Arial" w:eastAsia="Arial" w:hAnsi="Arial"/>
        </w:rPr>
        <w:t>, para que el informe muestre también los archivos sin probar en vez de ocultarlos.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FEFEF" w:val="clear"/>
        </w:rPr>
        <w:t>test/ayudas.jsx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reiniciarTodo</w:t>
      </w:r>
      <w:r>
        <w:rPr>
          <w:rFonts w:ascii="Arial" w:cs="Arial" w:eastAsia="Arial" w:hAnsi="Arial"/>
        </w:rPr>
        <w:t xml:space="preserve"> (datos de fábrica y microservicios simulados como apagados con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jasmine.createSpy</w:t>
      </w:r>
      <w:r>
        <w:rPr>
          <w:rFonts w:ascii="Arial" w:cs="Arial" w:eastAsia="Arial" w:hAnsi="Arial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renderConRouter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renderApp</w:t>
      </w:r>
      <w:r>
        <w:rPr>
          <w:rFonts w:ascii="Arial" w:cs="Arial" w:eastAsia="Arial" w:hAnsi="Arial"/>
        </w:rPr>
        <w:t xml:space="preserve"> (dibujan dentro de MemoryRouter, como en React IV),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iniciarSesionComo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proximoMiercoles</w:t>
      </w:r>
      <w:r>
        <w:rPr>
          <w:rFonts w:ascii="Arial" w:cs="Arial" w:eastAsia="Arial" w:hAnsi="Arial"/>
        </w:rPr>
        <w:t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FEFEF" w:val="clear"/>
        </w:rPr>
        <w:t>test/defensa.spec.jsx</w:t>
      </w:r>
      <w:r>
        <w:rPr>
          <w:rFonts w:ascii="Arial" w:cs="Arial" w:eastAsia="Arial" w:hAnsi="Arial"/>
        </w:rPr>
        <w:t xml:space="preserve"> (pruebas 1 a 10) y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test/complementarias.spec.jsx</w:t>
      </w:r>
      <w:r>
        <w:rPr>
          <w:rFonts w:ascii="Arial" w:cs="Arial" w:eastAsia="Arial" w:hAnsi="Arial"/>
        </w:rPr>
        <w:t xml:space="preserve"> (pruebas 11 a 15).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2.2. Cómo ejecutarlas</w:t>
      </w:r>
    </w:p>
    <w:p>
      <w:pPr>
        <w:keepLines/>
        <w:pBdr>
          <w:top w:val="single" w:color="BFBFBF" w:sz="4" w:space="4"/>
        </w:pBdr>
        <w:shd w:fill="F4F4F4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keepLines/>
        <w:shd w:fill="F4F4F4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>npm test        # corre las 15 pruebas y genera coverage/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>El informe navegable queda en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coverage/html/index.html</w:t>
      </w:r>
      <w:r>
        <w:rPr>
          <w:rFonts w:ascii="Arial" w:cs="Arial" w:eastAsia="Arial" w:hAnsi="Arial"/>
        </w:rPr>
        <w:t xml:space="preserve"> después de correr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npm test</w:t>
      </w:r>
      <w:r>
        <w:rPr>
          <w:rFonts w:ascii="Arial" w:cs="Arial" w:eastAsia="Arial" w:hAnsi="Arial"/>
        </w:rPr>
        <w:t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2.3. Estrategia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Patrón AAA:</w:t>
      </w:r>
      <w:r>
        <w:rPr>
          <w:rFonts w:ascii="Arial" w:cs="Arial" w:eastAsia="Arial" w:hAnsi="Arial"/>
        </w:rPr>
        <w:t xml:space="preserve"> cada prueba prepara los datos (Arrange), ejecuta una acción (Act) y verifica el resultado (Assert). Está comentado en el código.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Aislamiento: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beforeEach(reiniciarTodo)</w:t>
      </w:r>
      <w:r>
        <w:rPr>
          <w:rFonts w:ascii="Arial" w:cs="Arial" w:eastAsia="Arial" w:hAnsi="Arial"/>
        </w:rPr>
        <w:t xml:space="preserve"> restaura la base simulada, el carrito y la sesión antes de cada prueba.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>Mocks:</w:t>
      </w:r>
      <w:r>
        <w:rPr>
          <w:rFonts w:ascii="Arial" w:cs="Arial" w:eastAsia="Arial" w:hAnsi="Arial"/>
        </w:rPr>
        <w:t xml:space="preserve"> como en el ejemplo de mocking de la guía 2.3.5, la pasarela de pago se reemplaza por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jasmine.createSpy("procesar").and.returnValue(...)</w:t>
      </w:r>
      <w:r>
        <w:rPr>
          <w:rFonts w:ascii="Arial" w:cs="Arial" w:eastAsia="Arial" w:hAnsi="Arial"/>
        </w:rPr>
        <w:t xml:space="preserve"> para simular un pago rechazado (prueba 8) o aprobado (prueba 12), y en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afterEach</w:t>
      </w:r>
      <w:r>
        <w:rPr>
          <w:rFonts w:ascii="Arial" w:cs="Arial" w:eastAsia="Arial" w:hAnsi="Arial"/>
        </w:rPr>
        <w:t xml:space="preserve"> se devuelve la función real. El servicio de sesión se simula con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jasmine.createSpyObj</w:t>
      </w:r>
      <w:r>
        <w:rPr>
          <w:rFonts w:ascii="Arial" w:cs="Arial" w:eastAsia="Arial" w:hAnsi="Arial"/>
        </w:rPr>
        <w:t xml:space="preserve"> (prueba 7, guía 2.3.2).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>Hooks: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useFormulario</w:t>
      </w:r>
      <w:r>
        <w:rPr>
          <w:rFonts w:ascii="Arial" w:cs="Arial" w:eastAsia="Arial" w:hAnsi="Arial"/>
        </w:rPr>
        <w:t xml:space="preserve"> se prueba solo, sin dibujar un formulario, con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renderHook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act</w:t>
      </w:r>
      <w:r>
        <w:rPr>
          <w:rFonts w:ascii="Arial" w:cs="Arial" w:eastAsia="Arial" w:hAnsi="Arial"/>
        </w:rPr>
        <w:t xml:space="preserve"> (prueba 6), como en la guía 2.3.2.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>Microservicios (React V):</w:t>
      </w:r>
      <w:r>
        <w:rPr>
          <w:rFonts w:ascii="Arial" w:cs="Arial" w:eastAsia="Arial" w:hAnsi="Arial"/>
        </w:rPr>
        <w:t xml:space="preserve"> las funciones de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services/api.js</w:t>
      </w:r>
      <w:r>
        <w:rPr>
          <w:rFonts w:ascii="Arial" w:cs="Arial" w:eastAsia="Arial" w:hAnsi="Arial"/>
        </w:rPr>
        <w:t xml:space="preserve"> (axios) se reemplazan por spies. Por defecto responden "sin conexión" y la tienda usa sus datos locales; la prueba 14 hace que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>listarProductos</w:t>
      </w:r>
      <w:r>
        <w:rPr>
          <w:rFonts w:ascii="Arial" w:cs="Arial" w:eastAsia="Arial" w:hAnsi="Arial"/>
        </w:rPr>
        <w:t xml:space="preserve"> responda una lista controlada, como si fuera producto-service.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>Casos inválidos y límites:</w:t>
      </w:r>
      <w:r>
        <w:rPr>
          <w:rFonts w:ascii="Arial" w:cs="Arial" w:eastAsia="Arial" w:hAnsi="Arial"/>
        </w:rPr>
        <w:t xml:space="preserve"> se prueba lo que se rechaza (RUN con dígito incorrecto, muy corto o vacío; actualizar o eliminar un registro que no existe) y los casos de error (componente que falla, microservicio que no responde).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>3. Las 15 pruebas y el elemento que cubren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1700"/>
        <w:gridCol w:w="2600"/>
        <w:gridCol w:w="1760"/>
      </w:tblGrid>
      <w:tr>
        <w:trPr>
          <w:cantSplit/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Prueba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Qué verifica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Elemento cubierto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ListaProductos dibuja una tarjeta por cada diseño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Renderizado correcto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Hay tantas tarjetas como diseños y cada nombre está en pantalla.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organismos/ListaProductos.jsx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CampoFormulario muestra el error solo si existe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Renderizado condicional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Sin error no hay mensaje; al recibirlo por props aparece y el campo queda inválido.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moleculas/CampoFormulario.jsx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Boton muestra la etiqueta y llama a onClick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Props + spy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La etiqueta recibida se ve y el clic ejecuta la función una vez.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atomos/Boton.jsx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FormularioContacto actualiza su estado al escribir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Estado (useState)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El textarea muestra el texto y el contador pasa de 0 a 16 caracteres.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organismos/FormularioContacto.jsx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Galeria cambia la imagen al hacer clic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Eventos + estado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El clic en la miniatura cambia la imagen grande y marca la miniatura activa.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moleculas/Galeria.jsx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useFormulario valida en tiempo real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Hook personalizado (renderHook)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El error aparece y desaparece; con campos vacíos no deja enviar.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utils/useFormulario.js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FormularioLogin envía al servicio (mock)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Mock (createSpyObj)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El servicio recibe correo y contraseña, y su respuesta se muestra como alerta.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organismos/FormularioLogin.jsx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Checkout con pago RECHAZADO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Mock (createSpy) + integración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Orden rechazada, stock intacto y carrito conservado.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pages/tienda/Checkout.jsx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validarRun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Lógica pura (válido, inválido, límites)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Acepta un RUN correcto; rechaza dígito incorrecto, largo menor a 7 y vacío.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utils/validaciones.js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RutaProtegida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Rutas (MemoryRouter)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Sin sesión manda al login; con rol Cliente manda al inicio.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utilidades/RutaProtegida.jsx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CRUD de db.js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Datos (Anexo 1)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Crear, leer, actualizar y eliminar, con casos de registro inexistente.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data/db.js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Checkout con pago APROBADO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Integración + mock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Boleta visible, cupos descontados, carrito vacío y hora ocupada.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Checkout, CompraExitosa, Boleta, ordenesService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Recorrido de todas las vistas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Navegación (React Router)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15 rutas de la tienda y 14 del panel (lazy) se dibujan con su título.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pages/tienda, pages/admin, plantillas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Catálogo desde producto-service (mock de la API)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Mock de API (axios, React V)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Se llama a la API y la página muestra el diseño que respondió el microservicio y el origen de los datos.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pages/tienda/Productos.jsx, services/api.js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LimiteDeErrores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Manejo de errores (guía 2.3.5)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Si un hijo falla, se ve "Algo salió mal" en vez de una pantalla en blanco.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>utilidades/LimiteDeErrores.jsx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Resultados de cobertura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4.1. Cobertura global por carpeta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Porcentaje de elementos ejecutados por las pruebas sobre el total del código fuente (cubiertos/total).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60"/>
        <w:gridCol w:w="1760"/>
        <w:gridCol w:w="1760"/>
        <w:gridCol w:w="178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Carpeta (src/)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Sentencias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Ramas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Funciones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(raíz de src)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52/90 (57,8 %)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2/16 (12,5 %)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22/39 (56,4 %)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36/65 (55,4 %)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assets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1/1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0/0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0/0 (100,0 %)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1/1 (100,0 %)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components/atomos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5/5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10/11 (90,9 %)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4/4 (100,0 %)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5/5 (100,0 %)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components/moleculas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32/40 (80,0 %)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56/72 (77,8 %)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17/19 (89,5 %)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31/36 (86,1 %)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components/organismos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90/141 (63,8 %)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93/140 (66,4 %)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40/64 (62,5 %)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82/126 (65,1 %)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components/plantillas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5/7 (71,4 %)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8/8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2/3 (66,7 %)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5/7 (71,4 %)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components/utilidades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17/17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11/11 (100,0 %)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7/7 (100,0 %)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17/17 (100,0 %)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data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75/82 (91,5 %)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19/27 (70,4 %)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26/27 (96,3 %)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62/68 (91,2 %)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pages/admin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74/138 (53,6 %)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58/114 (50,9 %)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25/48 (52,1 %)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71/125 (56,8 %)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pages/tienda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117/171 (68,4 %)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50/87 (57,5 %)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39/57 (68,4 %)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114/160 (71,2 %)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services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157/288 (54,5 %)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68/201 (33,8 %)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78/137 (56,9 %)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139/229 (60,7 %)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utils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146/189 (77,2 %)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129/194 (66,5 %)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32/38 (84,2 %)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129/148 (87,2 %)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TOTAL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771/1169 (66,0 %)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504/881 (57,2 %)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292/443 (65,9 %)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>692/987 (70,1 %)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>4.2. Cobertura de los archivos que las pruebas tienen como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Archivo (src/)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Sentencias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Ramas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Funciones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components/atomos/Boton.jsx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1/1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components/moleculas/CampoFormulario.jsx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5/5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19/19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4/4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components/moleculas/Galeria.jsx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6/7 (85,7 %)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8/10 (80,0 %)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components/organismos/ListaProductos.jsx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1/6 (16,7 %)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3/4 (75,0 %)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components/organismos/FormularioContacto.jsx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3/8 (37,5 %)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0/2 (0,0 %)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3/7 (42,9 %)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components/organismos/FormularioLogin.jsx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8/9 (88,9 %)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4/6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8/8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utils/useFormulario.js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22/28 (78,6 %)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5/7 (71,4 %)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7/10 (70,0 %)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19/24 (79,2 %)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components/utilidades/RutaProtegida.jsx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6/6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1/1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6/6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components/utilidades/LimiteDeErrores.jsx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4/4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7/7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utils/validaciones.js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98/129 (76,0 %)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112/164 (68,3 %)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16/18 (88,9 %)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84/96 (87,5 %)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data/db.js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42/49 (85,7 %)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12/18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14/15 (93,3 %)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35/41 (85,4 %)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pages/tienda/Checkout.jsx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32/36 (88,9 %)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25/32 (78,1 %)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7/7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30/33 (90,9 %)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components/organismos/FormularioCheckout.jsx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25/26 (96,2 %)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18/22 (81,8 %)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11/11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19/19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services/ordenesService.js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20/24 (83,3 %)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10/13 (76,9 %)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14/17 (82,4 %)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17/19 (89,5 %)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services/carritoService.js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32/44 (72,7 %)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13/21 (61,9 %)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12/16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29/39 (74,4 %)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pages/tienda/CompraExitosa.jsx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4/6 (66,7 %)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1/2 (50,0 %)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4/6 (66,7 %)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components/organismos/Boleta.jsx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3/3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3/4 (75,0 %)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2/2 (100,0 %)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3/3 (100,0 %)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pages/tienda/Productos.jsx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19/26 (73,1 %)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5/6 (83,3 %)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5/9 (55,6 %)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18/22 (81,8 %)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Subtotal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336/418 (80,4 %)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253/349 (72,5 %)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104/123 (84,6 %)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5"/>
                <w:szCs w:val="15"/>
              </w:rPr>
              <w:t>296/345 (85,8 %)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4.3. Análisis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>Cómo leer las cifras (material 2.3.4): sentencias y líneas indican qué parte del código se ejecutó; ramas indica cuántos caminos de los if, ternarios y &amp;&amp; se recorrieron; funciones, cuántas funciones se llamaron al menos una vez. La cobertura global es de 66,0 % de sentencias, 57,2 % de ramas, 65,9 % de funciones y 70,1 % de líneas, con solo 15 pruebas.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>Las pruebas 8, 12 y 13 dibujan la aplicación completa con sus rutas. Por eso ejecutan también la navegación, las plantillas y los servicios, y explican que components/utilidades llegue al 100 % y data supere el 90 % de sentencias.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>En los 18 archivos objetivo la cobertura sube a 80,4 % de sentencias y 85,8 % de líneas. Lo que queda sin ejecutar son ramas alternativas: por ejemplo, el envío del formulario de contacto (la prueba 4 solo verifica el estado al escribir) o la lista vacía en ListaProductos.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>Las ramas más bajas están en services (33,8 %) y pages/admin (50,9 %): son caminos de error poco frecuentes (cupos agotados al pagar, almacenamiento bloqueado), las respuestas de error de los microservicios y ediciones desde el panel. Las vistas del panel sí se dibujan (prueba 13), pero sus formularios de edición no se envían en las pruebas.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Conclusiones y mejoras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>Las 15 pruebas pasan sin errores. Las 10 de defensa cubren cada tipo de la propuesta del Anexo 1 (renderizado, renderizado condicional, props, estado y eventos), además de un hook personalizado, mocks con jasmine.createSpy y jasmine.createSpyObj, lógica de validación y rutas protegidas.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>Las reglas críticas del negocio están verificadas: RUN, pago rechazado y aprobado, descuento de cupos, hora ocupada solo al pagar y control de acceso por rol. También se comprobó que el catálogo muestra lo que responde producto-service y que el Error Boundary evita la pantalla en blanco.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>Mejoras:</w:t>
      </w:r>
      <w:r>
        <w:rPr>
          <w:rFonts w:ascii="Arial" w:cs="Arial" w:eastAsia="Arial" w:hAnsi="Arial"/>
        </w:rPr>
        <w:t xml:space="preserve"> enviar los formularios del panel (crear y editar productos, categorías y usuarios), probar los caminos de error de los servicios y fijar un umbral mínimo de cobertura en karma.conf.js (coverageReporter.check) para que el proceso avise si baja.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Forever Ink · Documento de cobertura de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testing - Forever Ink</dc:title>
  <dc:creator>Isabel Cántaro y Valentine Gaete</dc:creator>
  <cp:lastModifiedBy>Un-named</cp:lastModifiedBy>
  <cp:revision>1</cp:revision>
  <dcterms:created xsi:type="dcterms:W3CDTF">2026-10-21T17:07:53.396Z</dcterms:created>
  <dcterms:modified xsi:type="dcterms:W3CDTF">2026-10-21T17:07:53.396Z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