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Equipo: Isabel Cántaro · Eduardo Caro · Yeremi Vásquez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cada integrante responde por todo el proyecto, aunque el trabajo se haya repartido.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 xml:space="preserve">"Forever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construimos con React y Vite; los componentes siguen Atomic Design, App guarda el estado y lo entrega por props, la navegación usa BrowserRouter y el diseño responsivo es de Bootstrap. El backend son 3 microservicios Spring Boot, cada uno con su base MySQL: producto-service entrega el catálogo, usuario-service registra e inicia sesión con un token JWT y carrito-service guarda el carrito; React se conecta con axios. Si un microservicio está apagado, la tienda sigue con un archivo JavaScript que simula la base de datos. Lo probamos con Jasmine y Karma: 15 pruebas, 10 de ellas para esta defensa, con 66,0 %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axios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Backend</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producto-service :8081 · usuario-service :8082 · carrito-service :8083 (Spring Boot + MySQL, una base por servicio)</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15 pruebas (10 de defensa + 5 complementarias) · cobertura 66,0 % sentencias, 57,2 % ramas, 65,9 % funciones, 70,1 % líneas · 12 diseños, 4 estilos, 3 tatuadores</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 · en cada microservicio: </w:t>
            </w:r>
            <w:r>
              <w:rPr>
                <w:rFonts w:ascii="Consolas" w:cs="Consolas" w:eastAsia="Consolas" w:hAnsi="Consolas"/>
                <w:sz w:val="17"/>
                <w:szCs w:val="17"/>
                <w:shd w:fill="F4F4F4" w:color="auto" w:val="clear"/>
              </w:rPr>
              <w:t xml:space="preserve">mvn spring-boot:run</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Abrir coverage/html/index.html después de npm test</w:t>
            </w:r>
          </w:p>
        </w:tc>
      </w:tr>
    </w:tbl>
    <w:p>
      <w:pPr>
        <w:pStyle w:val="Heading2"/>
      </w:pPr>
      <w:r>
        <w:rPr>
          <w:rFonts w:ascii="Arial" w:cs="Arial" w:eastAsia="Arial" w:hAnsi="Arial"/>
        </w:rPr>
        <w:t xml:space="preserve">1.1. Reparto de responsabilidades del equipo</w:t>
      </w:r>
    </w:p>
    <w:p>
      <w:pPr>
        <w:spacing w:after="120" w:line="276"/>
      </w:pPr>
      <w:r>
        <w:rPr>
          <w:rFonts w:ascii="Arial" w:cs="Arial" w:eastAsia="Arial" w:hAnsi="Arial"/>
        </w:rPr>
        <w:t xml:space="preserve">Cada integrante lidera una parte: la conoce al detalle y la explica primero. Como la presentación es individual, los tres deben poder explicar todo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2620"/>
        <w:gridCol w:w="2623"/>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Área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Isabel Cántaro · Tienda y compra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Eduardo Caro · Usuarios y panel</w:t>
            </w:r>
          </w:p>
        </w:tc>
        <w:tc>
          <w:tcPr>
            <w:tcW w:type="dxa" w:w="262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Yeremi Vásquez · Diseño, componentes base y datos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Detalle, Categorías, Ofertas, Carrito, Checkout, Compra exitosa, Pago fallido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Login, Registro, Perfil y todo pages/admin</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Nosotros, Blogs, Detalle blog, Contacto, 404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Componentes</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TarjetaProducto, Galeria, TablaCarrito, FormularioCheckout, ResumenOrden, Boleta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FormularioUsuario, FormularioProducto, FormularioCategoria, RutaProtegida, LayoutAdmin</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Átomos (Boton, Logo…), CampoFormulario, Header, Footer, LayoutTienda, Avisos, LimiteDeErrores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Estado del carrito en App.jsx, carritoService, ordenesService (agenda), pagosService</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Sesión en App.jsx, usuariosService, productosService, categoriasService, reportesService, validaciones.js</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data/db.js (CRUD), seed.js, images.js, useFormulario.js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Estilos y configuración</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tema.css, Bootstrap responsivo, karma.conf.js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Microservicio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carrito-service (8083) y su llamada Feign a producto-service</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usuario-service (8082): registro, login, JWT y BCrypt</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producto-service (8081): catálogo, categorías y scripts SQL</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Pruebas que lidera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 5, 8, 12 y 15</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 7, 9, 10 y 13</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 3, 4, 11 y 14</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 las 10 de defensa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 5 y 8</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6, 7, 9 y 10</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2, 3 y 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Indicador que explica primero</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IE2.1.3 (diseño del proyecto)</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IE2.2.2 (demostrar las pruebas)</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 (componentes y Bootstrap) e IE2.3.2 (proceso de testeo)</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Documentos</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Tienda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Administrador</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Documento de cobertura</w:t>
            </w:r>
          </w:p>
        </w:tc>
      </w:tr>
    </w:tbl>
    <w:p>
      <w:pPr>
        <w:spacing w:after="80"/>
      </w:pPr>
    </w:p>
    <w:p>
      <w:pPr>
        <w:spacing w:after="120" w:line="276"/>
      </w:pPr>
      <w:r>
        <w:rPr>
          <w:rFonts w:ascii="Arial" w:cs="Arial" w:eastAsia="Arial" w:hAnsi="Arial"/>
          <w:b/>
          <w:bCs/>
        </w:rPr>
        <w:t xml:space="preserve">Ojo:</w:t>
      </w:r>
      <w:r>
        <w:rPr>
          <w:rFonts w:ascii="Arial" w:cs="Arial" w:eastAsia="Arial" w:hAnsi="Arial"/>
        </w:rPr>
        <w:t xml:space="preserve"> la rúbrica pide que el trabajo sea equitativo y el docente pregunta por los cambios en GitHub. Cada integrante debería subir desde su cuenta los ajustes que haga en su parte.</w:t>
      </w:r>
    </w:p>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Enciende MySQL en XAMPP/Laragon y levanta producto-service, usuario-service y carrito-service (</w:t>
      </w:r>
      <w:r>
        <w:rPr>
          <w:rFonts w:ascii="Consolas" w:cs="Consolas" w:eastAsia="Consolas" w:hAnsi="Consolas"/>
          <w:sz w:val="19"/>
          <w:szCs w:val="19"/>
          <w:shd w:fill="F4F4F4" w:color="auto" w:val="clear"/>
        </w:rPr>
        <w:t xml:space="preserve">mvn spring-boot:run</w:t>
      </w:r>
      <w:r>
        <w:rPr>
          <w:rFonts w:ascii="Arial" w:cs="Arial" w:eastAsia="Arial" w:hAnsi="Arial"/>
        </w:rPr>
        <w:t xml:space="preserve"> en cada carpeta de backend/, en ese orden). Ten Postman abierto con la colección backend/postman.</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deben pasar las 15 pruebas (15 SUCCESS) y queda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 xml:space="preserve">En el editor deja listos: src/main.jsx, src/App.jsx, src/components/atomos/Boton.jsx, src/components/moleculas/TarjetaProducto.jsx, src/utils/useFormulario.js, src/data/db.js, src/assets/css/tema.css,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8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 y microservicios:</w:t>
      </w:r>
      <w:r>
        <w:rPr>
          <w:rFonts w:ascii="Arial" w:cs="Arial" w:eastAsia="Arial" w:hAnsi="Arial"/>
        </w:rPr>
        <w:t xml:space="preserve"> src/services/api.js se conecta con axios (React V) a 3 microservicios Spring Boot: catálogo y detalle desde producto-service, login y registro en usuario-service (token JWT) y carrito en carrito-service. El panel, las órdenes y la agenda usan src/data/db.js, que simula la base con CRUD (crear, listar, obtenerPorId, actualizar, eliminar) sobre localStorage y es el respaldo si un microservicio no responde.</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tiene un import por imagen (diapositiva 7) y las junta en un objeto, que se usa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 xml:space="preserve">images["mariposa-lineal"]</w:t>
      </w:r>
      <w:r>
        <w:rPr>
          <w:rFonts w:ascii="Arial" w:cs="Arial" w:eastAsia="Arial" w:hAnsi="Arial"/>
        </w:rPr>
        <w:t xml:space="preserve"> (diapositiva 9).</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 Footer,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Backend: los 3 microservicios (carpeta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3744"/>
        <w:gridCol w:w="1498"/>
      </w:tblGrid>
      <w:tr>
        <w:trPr>
          <w:tblHeader/>
        </w:trPr>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Microservicio</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Puerto y base</w:t>
            </w:r>
          </w:p>
        </w:tc>
        <w:tc>
          <w:tcPr>
            <w:tcW w:type="dxa" w:w="374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hace</w:t>
            </w:r>
          </w:p>
        </w:tc>
        <w:tc>
          <w:tcPr>
            <w:tcW w:type="dxa" w:w="149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Lidera</w:t>
            </w:r>
          </w:p>
        </w:tc>
      </w:tr>
      <w:tr>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producto-service</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8081 · foreverink_productos</w:t>
            </w:r>
          </w:p>
        </w:tc>
        <w:tc>
          <w:tcPr>
            <w:tcW w:type="dxa" w:w="374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Catálogo y categorías. GET público; crear, editar y eliminar solo con rol ADMIN.</w:t>
            </w:r>
          </w:p>
        </w:tc>
        <w:tc>
          <w:tcPr>
            <w:tcW w:type="dxa" w:w="149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Yeremi Vásquez</w:t>
            </w:r>
          </w:p>
        </w:tc>
      </w:tr>
      <w:tr>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usuario-service</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8082 · foreverink_usuarios</w:t>
            </w:r>
          </w:p>
        </w:tc>
        <w:tc>
          <w:tcPr>
            <w:tcW w:type="dxa" w:w="374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Registro, login con token JWT, contraseñas con BCrypt y CRUD de usuarios (ADMIN).</w:t>
            </w:r>
          </w:p>
        </w:tc>
        <w:tc>
          <w:tcPr>
            <w:tcW w:type="dxa" w:w="149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Eduardo Caro</w:t>
            </w:r>
          </w:p>
        </w:tc>
      </w:tr>
      <w:tr>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carrito-service</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8083 · foreverink_carritos</w:t>
            </w:r>
          </w:p>
        </w:tc>
        <w:tc>
          <w:tcPr>
            <w:tcW w:type="dxa" w:w="374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Carrito por navegador. Le pregunta precio y cupos a producto-service con OpenFeign.</w:t>
            </w:r>
          </w:p>
        </w:tc>
        <w:tc>
          <w:tcPr>
            <w:tcW w:type="dxa" w:w="149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Isabel Cántaro</w:t>
            </w:r>
          </w:p>
        </w:tc>
      </w:tr>
    </w:tbl>
    <w:p>
      <w:pPr>
        <w:pStyle w:val="ListParagraph"/>
        <w:numPr>
          <w:ilvl w:val="0"/>
          <w:numId w:val="4"/>
        </w:numPr>
        <w:spacing w:after="60" w:line="264"/>
      </w:pPr>
      <w:r>
        <w:rPr>
          <w:rFonts w:ascii="Arial" w:cs="Arial" w:eastAsia="Arial" w:hAnsi="Arial"/>
        </w:rPr>
        <w:t xml:space="preserve">Capas de cada microservicio: controller (ResponseEntity con el código HTTP correcto) → service (reglas) → repository (Spring Data JPA) → model, más dto con validaciones (@NotBlank, @Size, @Pattern) y un @RestControllerAdvice que responde siempre { status, mensaje, campos } (guía 2.3.1).</w:t>
      </w:r>
    </w:p>
    <w:p>
      <w:pPr>
        <w:pStyle w:val="ListParagraph"/>
        <w:numPr>
          <w:ilvl w:val="0"/>
          <w:numId w:val="4"/>
        </w:numPr>
        <w:spacing w:after="60" w:line="264"/>
      </w:pPr>
      <w:r>
        <w:rPr>
          <w:rFonts w:ascii="Arial" w:cs="Arial" w:eastAsia="Arial" w:hAnsi="Arial"/>
        </w:rPr>
        <w:t xml:space="preserve">Las tablas no las crea Hibernate: vienen de los scripts V1__estructura.sql y V2__datos_iniciales.sql, y cada servicio tiene su propia base (guía 2.2.1).</w:t>
      </w:r>
    </w:p>
    <w:p>
      <w:pPr>
        <w:pStyle w:val="ListParagraph"/>
        <w:numPr>
          <w:ilvl w:val="0"/>
          <w:numId w:val="4"/>
        </w:numPr>
        <w:spacing w:after="60" w:line="264"/>
      </w:pPr>
      <w:r>
        <w:rPr>
          <w:rFonts w:ascii="Arial" w:cs="Arial" w:eastAsia="Arial" w:hAnsi="Arial"/>
        </w:rPr>
        <w:t xml:space="preserve">Seguridad (guía 2.3.2): API STATELESS con JWT, BCrypt, @PreAuthorize para el rol ADMIN, CORS para el frontend y logs con SLF4J.</w:t>
      </w:r>
    </w:p>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el estado compartido (usuario, items del carrito y avisos),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 y cómo cada página recibe sus props.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(React II) y deja URL limpias como /productos/3. Para mostrarlo uso npm run dev; Vite entrega index.html en cualquier ruta.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3 microservicios?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Porque cada uno resuelve una parte del negocio y se puede mantener o reiniciar sin tocar los otros: productos, usuarios y carrito. Cada uno tiene su puerto y su propia base de datos.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pasa si un microservicio se cae?</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 petición axios falla por tiempo o conexión (timeout de 3 s) y la página usa los datos locales. Si carrito-service no alcanza a producto-service, responde 503.</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¿Cómo se comunica React con ellos?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Con axios en services/api.js: GET para leer, POST para crear y PUT para actualizar. Las páginas lo llaman en un useEffect; si falla (catch) usan los datos locales.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la lista se recalcula en cada render con buscarProductos(filtros). Un useEffect pide el catálogo a producto-service y lo guarda en el estado catalogo.</w:t>
      </w:r>
    </w:p>
    <w:p>
      <w:pPr>
        <w:pStyle w:val="ListParagraph"/>
        <w:numPr>
          <w:ilvl w:val="0"/>
          <w:numId w:val="4"/>
        </w:numPr>
        <w:spacing w:after="60" w:line="264"/>
      </w:pPr>
      <w:r>
        <w:rPr>
          <w:rFonts w:ascii="Arial" w:cs="Arial" w:eastAsia="Arial" w:hAnsi="Arial"/>
        </w:rPr>
        <w:t xml:space="preserve">App.jsx: useEffect guarda el carrito en localStorage y en carrito-service (PUT) cada vez que cambia el estado items.</w:t>
      </w:r>
    </w:p>
    <w:p>
      <w:pPr>
        <w:pStyle w:val="Heading2"/>
      </w:pPr>
      <w:r>
        <w:rPr>
          <w:rFonts w:ascii="Arial" w:cs="Arial" w:eastAsia="Arial" w:hAnsi="Arial"/>
        </w:rPr>
        <w:t xml:space="preserve">4.3. Estado compartido, hook personalizado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(src/utils)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Estado en el padre (React II, Generador de Memes):</w:t>
      </w:r>
      <w:r>
        <w:rPr>
          <w:rFonts w:ascii="Arial" w:cs="Arial" w:eastAsia="Arial" w:hAnsi="Arial"/>
        </w:rPr>
        <w:t xml:space="preserve"> App.jsx guarda usuario (sessionStorage), items del carrito (localStorage) y avisos. Los baja por props: la barra recibe total y cantidad, Checkout recibe carrito y usuario, las páginas reciben onAgregar.</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que usan todos los formularios.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¿Dónde vive el carrito y cómo llega a la barra?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el estado de App.jsx (useState). App le pasa total y cantidad a LayoutTienda, y esta a Header, por props. Al agregar un diseño, App cambia su estado y React redibuja la barra.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con </w:t>
      </w:r>
      <w:r>
        <w:rPr>
          <w:rFonts w:ascii="Consolas" w:cs="Consolas" w:eastAsia="Consolas" w:hAnsi="Consolas"/>
          <w:sz w:val="19"/>
          <w:szCs w:val="19"/>
          <w:shd w:fill="F4F4F4" w:color="auto" w:val="clear"/>
        </w:rPr>
        <w:t xml:space="preserve">npm test</w:t>
      </w:r>
      <w:r>
        <w:rPr>
          <w:rFonts w:ascii="Arial" w:cs="Arial" w:eastAsia="Arial" w:hAnsi="Arial"/>
        </w:rPr>
        <w:t xml:space="preserve"> junto a las 5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Le paso los 12 diseños por props y cuento los botones "Añadir": tiene que haber 12, y cada nombre debe estar en pantalla (</w:t>
            </w:r>
            <w:r>
              <w:rPr>
                <w:rFonts w:ascii="Consolas" w:cs="Consolas" w:eastAsia="Consolas" w:hAnsi="Consolas"/>
                <w:sz w:val="17"/>
                <w:szCs w:val="17"/>
                <w:shd w:fill="F4F4F4" w:color="auto" w:val="clear"/>
              </w:rPr>
              <w:t xml:space="preserve">toBeGreaterThan(0)</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lo dibujo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Después lo dibujo con un error por props: el mensaje aparece (</w:t>
            </w:r>
            <w:r>
              <w:rPr>
                <w:rFonts w:ascii="Consolas" w:cs="Consolas" w:eastAsia="Consolas" w:hAnsi="Consolas"/>
                <w:sz w:val="17"/>
                <w:szCs w:val="17"/>
                <w:shd w:fill="F4F4F4" w:color="auto" w:val="clear"/>
              </w:rPr>
              <w:t xml:space="preserve">toBeTruthy()</w:t>
            </w:r>
            <w:r>
              <w:rPr>
                <w:rFonts w:ascii="Arial" w:cs="Arial" w:eastAsia="Arial" w:hAnsi="Arial"/>
                <w:sz w:val="18"/>
                <w:szCs w:val="18"/>
              </w:rPr>
              <w:t xml:space="preserv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 de Bootstrap.</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Busco el botón por su texto (</w:t>
            </w:r>
            <w:r>
              <w:rPr>
                <w:rFonts w:ascii="Consolas" w:cs="Consolas" w:eastAsia="Consolas" w:hAnsi="Consolas"/>
                <w:sz w:val="17"/>
                <w:szCs w:val="17"/>
                <w:shd w:fill="F4F4F4" w:color="auto" w:val="clear"/>
              </w:rPr>
              <w:t xml:space="preserve">getByText</w:t>
            </w:r>
            <w:r>
              <w:rPr>
                <w:rFonts w:ascii="Arial" w:cs="Arial" w:eastAsia="Arial" w:hAnsi="Arial"/>
                <w:sz w:val="18"/>
                <w:szCs w:val="18"/>
              </w:rPr>
              <w:t xml:space="preserve">, como en React IV) y,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comentario.value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(como el 401 de usuario-service). Como el login real es asíncrono (axios), el mock devuelve una promesa y espero la alerta con </w:t>
            </w:r>
            <w:r>
              <w:rPr>
                <w:rFonts w:ascii="Consolas" w:cs="Consolas" w:eastAsia="Consolas" w:hAnsi="Consolas"/>
                <w:sz w:val="17"/>
                <w:szCs w:val="17"/>
                <w:shd w:fill="F4F4F4" w:color="auto" w:val="clear"/>
              </w:rPr>
              <w:t xml:space="preserve">waitFor</w:t>
            </w:r>
            <w:r>
              <w:rPr>
                <w:rFonts w:ascii="Arial" w:cs="Arial" w:eastAsia="Arial" w:hAnsi="Arial"/>
                <w:sz w:val="18"/>
                <w:szCs w:val="18"/>
              </w:rPr>
              <w:t xml:space="preserve">.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Reemplazo </w:t>
            </w:r>
            <w:r>
              <w:rPr>
                <w:rFonts w:ascii="Consolas" w:cs="Consolas" w:eastAsia="Consolas" w:hAnsi="Consolas"/>
                <w:sz w:val="17"/>
                <w:szCs w:val="17"/>
                <w:shd w:fill="F4F4F4" w:color="auto" w:val="clear"/>
              </w:rPr>
              <w:t xml:space="preserve">pagosService.procesar</w:t>
            </w:r>
            <w:r>
              <w:rPr>
                <w:rFonts w:ascii="Arial" w:cs="Arial" w:eastAsia="Arial" w:hAnsi="Arial"/>
                <w:sz w:val="18"/>
                <w:szCs w:val="18"/>
              </w:rPr>
              <w:t xml:space="preserve"> por </w:t>
            </w:r>
            <w:r>
              <w:rPr>
                <w:rFonts w:ascii="Consolas" w:cs="Consolas" w:eastAsia="Consolas" w:hAnsi="Consolas"/>
                <w:sz w:val="17"/>
                <w:szCs w:val="17"/>
                <w:shd w:fill="F4F4F4" w:color="auto" w:val="clear"/>
              </w:rPr>
              <w:t xml:space="preserve">jasmine.createSpy("procesar").and.returnValue(...)</w:t>
            </w:r>
            <w:r>
              <w:rPr>
                <w:rFonts w:ascii="Arial" w:cs="Arial" w:eastAsia="Arial" w:hAnsi="Arial"/>
                <w:sz w:val="18"/>
                <w:szCs w:val="18"/>
              </w:rPr>
              <w:t xml:space="preserve"> que responde "rechazado" (ejemplo de mocking de la guía 2.3.5); en afterEach devuelvo la función real.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Rutas (MemoryRouter)</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Como en React IV, MemoryRouter con initialEntries simula entrar a /admin. Con usuario = null me manda al login; con un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dice 15 SUCCESS.</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Catálogo desde producto-service (mock)</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api.listarProductos</w:t>
            </w:r>
            <w:r>
              <w:rPr>
                <w:rFonts w:ascii="Arial" w:cs="Arial" w:eastAsia="Arial" w:hAnsi="Arial"/>
                <w:sz w:val="18"/>
                <w:szCs w:val="18"/>
              </w:rPr>
              <w:t xml:space="preserve"> se reemplaza por un spy que responde un diseño: la página lo muestra y dice "Catálogo desde producto-service", sin levantar Spring Boot.</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jasmine.createSpy).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w:t>
      </w:r>
      <w:r>
        <w:rPr>
          <w:rFonts w:ascii="Consolas" w:cs="Consolas" w:eastAsia="Consolas" w:hAnsi="Consolas"/>
          <w:sz w:val="19"/>
          <w:szCs w:val="19"/>
          <w:shd w:fill="F4F4F4" w:color="auto" w:val="clear"/>
        </w:rPr>
        <w:t xml:space="preserve">render</w:t>
      </w:r>
      <w:r>
        <w:rPr>
          <w:rFonts w:ascii="Arial" w:cs="Arial" w:eastAsia="Arial" w:hAnsi="Arial"/>
        </w:rPr>
        <w:t xml:space="preserve">, </w:t>
      </w:r>
      <w:r>
        <w:rPr>
          <w:rFonts w:ascii="Consolas" w:cs="Consolas" w:eastAsia="Consolas" w:hAnsi="Consolas"/>
          <w:sz w:val="19"/>
          <w:szCs w:val="19"/>
          <w:shd w:fill="F4F4F4" w:color="auto" w:val="clear"/>
        </w:rPr>
        <w:t xml:space="preserve">screen</w:t>
      </w:r>
      <w:r>
        <w:rPr>
          <w:rFonts w:ascii="Arial" w:cs="Arial" w:eastAsia="Arial" w:hAnsi="Arial"/>
        </w:rPr>
        <w:t xml:space="preserve">) y simula al usuario (</w:t>
      </w:r>
      <w:r>
        <w:rPr>
          <w:rFonts w:ascii="Consolas" w:cs="Consolas" w:eastAsia="Consolas" w:hAnsi="Consolas"/>
          <w:sz w:val="19"/>
          <w:szCs w:val="19"/>
          <w:shd w:fill="F4F4F4" w:color="auto" w:val="clear"/>
        </w:rPr>
        <w:t xml:space="preserve">fireEvent</w:t>
      </w:r>
      <w:r>
        <w:rPr>
          <w:rFonts w:ascii="Arial" w:cs="Arial" w:eastAsia="Arial" w:hAnsi="Arial"/>
        </w:rPr>
        <w:t xml:space="preserve">); </w:t>
      </w:r>
      <w:r>
        <w:rPr>
          <w:rFonts w:ascii="Arial" w:cs="Arial" w:eastAsia="Arial" w:hAnsi="Arial"/>
          <w:b/>
          <w:bCs/>
        </w:rPr>
        <w:t xml:space="preserve">MemoryRouter</w:t>
      </w:r>
      <w:r>
        <w:rPr>
          <w:rFonts w:ascii="Arial" w:cs="Arial" w:eastAsia="Arial" w:hAnsi="Arial"/>
        </w:rPr>
        <w:t xml:space="preserve"> simula las rutas sin navegador (React IV). Las comprobaciones son </w:t>
      </w:r>
      <w:r>
        <w:rPr>
          <w:rFonts w:ascii="Consolas" w:cs="Consolas" w:eastAsia="Consolas" w:hAnsi="Consolas"/>
          <w:sz w:val="19"/>
          <w:szCs w:val="19"/>
          <w:shd w:fill="F4F4F4" w:color="auto" w:val="clear"/>
        </w:rPr>
        <w:t xml:space="preserve">toBe</w:t>
      </w:r>
      <w:r>
        <w:rPr>
          <w:rFonts w:ascii="Arial" w:cs="Arial" w:eastAsia="Arial" w:hAnsi="Arial"/>
        </w:rPr>
        <w:t xml:space="preserve">, </w:t>
      </w:r>
      <w:r>
        <w:rPr>
          <w:rFonts w:ascii="Consolas" w:cs="Consolas" w:eastAsia="Consolas" w:hAnsi="Consolas"/>
          <w:sz w:val="19"/>
          <w:szCs w:val="19"/>
          <w:shd w:fill="F4F4F4" w:color="auto" w:val="clear"/>
        </w:rPr>
        <w:t xml:space="preserve">toBeTruthy</w:t>
      </w:r>
      <w:r>
        <w:rPr>
          <w:rFonts w:ascii="Arial" w:cs="Arial" w:eastAsia="Arial" w:hAnsi="Arial"/>
        </w:rPr>
        <w:t xml:space="preserve">, </w:t>
      </w:r>
      <w:r>
        <w:rPr>
          <w:rFonts w:ascii="Consolas" w:cs="Consolas" w:eastAsia="Consolas" w:hAnsi="Consolas"/>
          <w:sz w:val="19"/>
          <w:szCs w:val="19"/>
          <w:shd w:fill="F4F4F4" w:color="auto" w:val="clear"/>
        </w:rPr>
        <w:t xml:space="preserve">toContain</w:t>
      </w:r>
      <w:r>
        <w:rPr>
          <w:rFonts w:ascii="Arial" w:cs="Arial" w:eastAsia="Arial" w:hAnsi="Arial"/>
        </w:rPr>
        <w:t xml:space="preserve"> y </w:t>
      </w:r>
      <w:r>
        <w:rPr>
          <w:rFonts w:ascii="Consolas" w:cs="Consolas" w:eastAsia="Consolas" w:hAnsi="Consolas"/>
          <w:sz w:val="19"/>
          <w:szCs w:val="19"/>
          <w:shd w:fill="F4F4F4" w:color="auto" w:val="clear"/>
        </w:rPr>
        <w:t xml:space="preserve">not</w:t>
      </w:r>
      <w:r>
        <w:rPr>
          <w:rFonts w:ascii="Arial" w:cs="Arial" w:eastAsia="Arial" w:hAnsi="Arial"/>
        </w:rPr>
        <w:t xml:space="preserve">.</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api.metodo = 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Todas (ayudas.jsx) y prueba 14</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Simula los microservicios: por defecto responden "sin conexión" y en la prueba 14 producto-service responde una lista controlada. Las pruebas no necesitan Spring Boot encendido.</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objeto.metodo = jasmine.createSpy(...).and.returnValue(...)</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uno controlado, como en la guía 2.3.5. En afterEach se devuelve el real.</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 xml:space="preserve">66,0 %</w:t>
      </w:r>
      <w:r>
        <w:rPr>
          <w:rFonts w:ascii="Arial" w:cs="Arial" w:eastAsia="Arial" w:hAnsi="Arial"/>
        </w:rPr>
        <w:t xml:space="preserve"> de sentencias, </w:t>
      </w:r>
      <w:r>
        <w:rPr>
          <w:rFonts w:ascii="Arial" w:cs="Arial" w:eastAsia="Arial" w:hAnsi="Arial"/>
          <w:b/>
          <w:bCs/>
        </w:rPr>
        <w:t xml:space="preserve">57,2 %</w:t>
      </w:r>
      <w:r>
        <w:rPr>
          <w:rFonts w:ascii="Arial" w:cs="Arial" w:eastAsia="Arial" w:hAnsi="Arial"/>
        </w:rPr>
        <w:t xml:space="preserve"> de ramas, </w:t>
      </w:r>
      <w:r>
        <w:rPr>
          <w:rFonts w:ascii="Arial" w:cs="Arial" w:eastAsia="Arial" w:hAnsi="Arial"/>
          <w:b/>
          <w:bCs/>
        </w:rPr>
        <w:t xml:space="preserve">65,9 %</w:t>
      </w:r>
      <w:r>
        <w:rPr>
          <w:rFonts w:ascii="Arial" w:cs="Arial" w:eastAsia="Arial" w:hAnsi="Arial"/>
        </w:rPr>
        <w:t xml:space="preserve"> de funciones y </w:t>
      </w:r>
      <w:r>
        <w:rPr>
          <w:rFonts w:ascii="Arial" w:cs="Arial" w:eastAsia="Arial" w:hAnsi="Arial"/>
          <w:b/>
          <w:bCs/>
        </w:rPr>
        <w:t xml:space="preserve">70,1 %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(guía 2.3.2): más rápido y sirve en servidores como EC2,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significa 57,2 %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(8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Microservicios (1 min):</w:t>
      </w:r>
      <w:r>
        <w:rPr>
          <w:rFonts w:ascii="Arial" w:cs="Arial" w:eastAsia="Arial" w:hAnsi="Arial"/>
        </w:rPr>
        <w:t xml:space="preserve"> el catálogo dice "Catálogo desde producto-service"; en Postman haz login (token JWT), un 401 con clave mala y agrega un ítem al carrito (carrito-service consulta a producto-service).</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test</w:t>
      </w:r>
      <w:r>
        <w:rPr>
          <w:rFonts w:ascii="Arial" w:cs="Arial" w:eastAsia="Arial" w:hAnsi="Arial"/>
        </w:rPr>
        <w:t xml:space="preserve"> (15 SUCCESS), test/defensa.spec.jsx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 Eduardo Caro, Yeremi Vásquez</dc:creator>
  <cp:lastModifiedBy>Un-named</cp:lastModifiedBy>
  <cp:revision>1</cp:revision>
  <dcterms:created xsi:type="dcterms:W3CDTF">2026-10-21T22:31:36.925Z</dcterms:created>
  <dcterms:modified xsi:type="dcterms:W3CDTF">2026-10-21T22:31:36.925Z</dcterms:modified>
</cp:coreProperties>
</file>

<file path=docProps/custom.xml><?xml version="1.0" encoding="utf-8"?>
<Properties xmlns="http://schemas.openxmlformats.org/officeDocument/2006/custom-properties" xmlns:vt="http://schemas.openxmlformats.org/officeDocument/2006/docPropsVTypes"/>
</file>