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2.1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estado compartido en App entregado por props, BrowserRouter, imágenes importadas desde src/assets, Google Fonts, hoja de estilos en formato estándar con tabla de contenido y enfoque mobile first, Error Boundary, carga diferida del panel y 15 pruebas (10 de defensa y 5 complementarias). El equipo queda conformado por Isabel Cántaro.</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Función de React (useState, useEffect…)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Datos que usan varias vistas (sesión, carrito y avisos). Viven en App.jsx, el componente padre, y bajan a los hijos por props (flujo de datos unidireccional).</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marco para escribir pruebas (describe, it, expect, jasmine.createSpy).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 (sesión, carrito y avisos) en src/App.jsx, que lo entrega a las páginas por props; lógica reutilizable de formularios (src/utils/useFormulario.js).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El proyecto se desarrolla en equipo (máximo 3 integrantes); en esta entrega el equipo está conformado por 1 integrante (Isabel Cántaro).</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Google Fonts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Tipografías del tema, cargadas con &lt;link&gt; en el &lt;head&gt; de index.html.</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src/data/estudio.js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como en el material de la asignatura (React II).</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(mock)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14 · XSS;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