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El backend son 3 microservicios Spring Boot, cada uno con su base MySQL: producto-service entrega el catálogo, usuario-service registra e inicia sesión con un token JWT y carrito-service guarda el carrito; React se conecta con axios. Si un microservicio está apagado, la tienda sigue con un archivo JavaScript que simula la base de datos. Lo probamos con Jasmine y Karma: 15 pruebas, 10 de ellas para esta defensa, con 66,0 %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axios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Backend</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 usuario-service :8082 · carrito-service :8083 (Spring Boot + MySQL, una base por servicio)</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66,0 % sentencias, 57,2 % ramas, 65,9 % funciones, 70,1 % líneas · 12 diseños, 4 estilos, 3 tatuadores</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 · en cada microservicio: </w:t>
            </w:r>
            <w:r>
              <w:rPr>
                <w:rFonts w:ascii="Consolas" w:cs="Consolas" w:eastAsia="Consolas" w:hAnsi="Consolas"/>
                <w:sz w:val="17"/>
                <w:szCs w:val="17"/>
                <w:shd w:fill="F4F4F4" w:color="auto" w:val="clear"/>
              </w:rPr>
              <w:t xml:space="preserve">mvn spring-boot:run</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Microservicio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 (8083) y su llamada Feign a producto-service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 (8082): registro, login, JWT y BCrypt</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catálogo, categorías y scripts SQL</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Enciende MySQL en XAMPP/Laragon y levanta producto-service, usuario-service y carrito-service (</w:t>
      </w:r>
      <w:r>
        <w:rPr>
          <w:rFonts w:ascii="Consolas" w:cs="Consolas" w:eastAsia="Consolas" w:hAnsi="Consolas"/>
          <w:sz w:val="19"/>
          <w:szCs w:val="19"/>
          <w:shd w:fill="F4F4F4" w:color="auto" w:val="clear"/>
        </w:rPr>
        <w:t xml:space="preserve">mvn spring-boot:run</w:t>
      </w:r>
      <w:r>
        <w:rPr>
          <w:rFonts w:ascii="Arial" w:cs="Arial" w:eastAsia="Arial" w:hAnsi="Arial"/>
        </w:rPr>
        <w:t xml:space="preserve"> en cada carpeta de backend/, en ese orden). Ten Postman abierto con la colección backend/postman.</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8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 y microservicios:</w:t>
      </w:r>
      <w:r>
        <w:rPr>
          <w:rFonts w:ascii="Arial" w:cs="Arial" w:eastAsia="Arial" w:hAnsi="Arial"/>
        </w:rPr>
        <w:t xml:space="preserve"> src/services/api.js se conecta con axios (React V) a 3 microservicios Spring Boot: catálogo y detalle desde producto-service, login y registro en usuario-service (token JWT) y carrito en carrito-service. El panel, las órdenes y la agenda usan src/data/db.js, que simula la base con CRUD (crear, listar, obtenerPorId, actualizar, eliminar) sobre localStorage y es el respaldo si un microservicio no responde.</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Backend: los 3 microservicios (carpeta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3744"/>
        <w:gridCol w:w="1498"/>
      </w:tblGrid>
      <w:tr>
        <w:trPr>
          <w:tblHeader/>
        </w:trPr>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Microservicio</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Puerto y base</w:t>
            </w:r>
          </w:p>
        </w:tc>
        <w:tc>
          <w:tcPr>
            <w:tcW w:type="dxa" w:w="374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hace</w:t>
            </w:r>
          </w:p>
        </w:tc>
        <w:tc>
          <w:tcPr>
            <w:tcW w:type="dxa" w:w="149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Lidera</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8081 · foreverink_productos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Catálogo y categorías. GET público; crear, editar y eliminar solo con rol ADMIN.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Yeremi Vásquez</w:t>
            </w:r>
          </w:p>
        </w:tc>
      </w:tr>
      <w:tr>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8082 · foreverink_usuarios</w:t>
            </w:r>
          </w:p>
        </w:tc>
        <w:tc>
          <w:tcPr>
            <w:tcW w:type="dxa" w:w="374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Registro, login con token JWT, contraseñas con BCrypt y CRUD de usuarios (ADMIN).</w:t>
            </w:r>
          </w:p>
        </w:tc>
        <w:tc>
          <w:tcPr>
            <w:tcW w:type="dxa" w:w="149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Eduardo Caro</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8083 · foreverink_carritos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 por navegador. Le pregunta precio y cupos a producto-service con OpenFeign.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Isabel Cántaro</w:t>
            </w:r>
          </w:p>
        </w:tc>
      </w:tr>
    </w:tbl>
    <w:p>
      <w:pPr>
        <w:pStyle w:val="ListParagraph"/>
        <w:numPr>
          <w:ilvl w:val="0"/>
          <w:numId w:val="4"/>
        </w:numPr>
        <w:spacing w:after="60" w:line="264"/>
      </w:pPr>
      <w:r>
        <w:rPr>
          <w:rFonts w:ascii="Arial" w:cs="Arial" w:eastAsia="Arial" w:hAnsi="Arial"/>
        </w:rPr>
        <w:t xml:space="preserve">Capas de cada microservicio: controller (ResponseEntity con el código HTTP correcto) → service (reglas) → repository (Spring Data JPA) → model, más dto con validaciones (@NotBlank, @Size, @Pattern) y un @RestControllerAdvice que responde siempre { status, mensaje, campos } (guía 2.3.1).</w:t>
      </w:r>
    </w:p>
    <w:p>
      <w:pPr>
        <w:pStyle w:val="ListParagraph"/>
        <w:numPr>
          <w:ilvl w:val="0"/>
          <w:numId w:val="4"/>
        </w:numPr>
        <w:spacing w:after="60" w:line="264"/>
      </w:pPr>
      <w:r>
        <w:rPr>
          <w:rFonts w:ascii="Arial" w:cs="Arial" w:eastAsia="Arial" w:hAnsi="Arial"/>
        </w:rPr>
        <w:t xml:space="preserve">Las tablas no las crea Hibernate: las crea </w:t>
      </w:r>
      <w:r>
        <w:rPr>
          <w:rFonts w:ascii="Arial" w:cs="Arial" w:eastAsia="Arial" w:hAnsi="Arial"/>
          <w:b/>
          <w:bCs/>
        </w:rPr>
        <w:t xml:space="preserve">Flyway</w:t>
      </w:r>
      <w:r>
        <w:rPr>
          <w:rFonts w:ascii="Arial" w:cs="Arial" w:eastAsia="Arial" w:hAnsi="Arial"/>
        </w:rPr>
        <w:t xml:space="preserve"> con los scripts de db/migration (V1__init.sql y V2__datos_iniciales.sql), que se ejecutan una sola vez y quedan anotados en flyway_schema_history. Cada servicio tiene su propia base (guía 2.2.1).</w:t>
      </w:r>
    </w:p>
    <w:p>
      <w:pPr>
        <w:pStyle w:val="ListParagraph"/>
        <w:numPr>
          <w:ilvl w:val="0"/>
          <w:numId w:val="4"/>
        </w:numPr>
        <w:spacing w:after="60" w:line="264"/>
      </w:pPr>
      <w:r>
        <w:rPr>
          <w:rFonts w:ascii="Arial" w:cs="Arial" w:eastAsia="Arial" w:hAnsi="Arial"/>
        </w:rPr>
        <w:t xml:space="preserve">Pruebas del backend: cada microservicio tiene pruebas </w:t>
      </w:r>
      <w:r>
        <w:rPr>
          <w:rFonts w:ascii="Arial" w:cs="Arial" w:eastAsia="Arial" w:hAnsi="Arial"/>
          <w:b/>
          <w:bCs/>
        </w:rPr>
        <w:t xml:space="preserve">JUnit 5</w:t>
      </w:r>
      <w:r>
        <w:rPr>
          <w:rFonts w:ascii="Arial" w:cs="Arial" w:eastAsia="Arial" w:hAnsi="Arial"/>
        </w:rPr>
        <w:t xml:space="preserve"> con </w:t>
      </w:r>
      <w:r>
        <w:rPr>
          <w:rFonts w:ascii="Arial" w:cs="Arial" w:eastAsia="Arial" w:hAnsi="Arial"/>
          <w:b/>
          <w:bCs/>
        </w:rPr>
        <w:t xml:space="preserve">Mockito</w:t>
      </w:r>
      <w:r>
        <w:rPr>
          <w:rFonts w:ascii="Arial" w:cs="Arial" w:eastAsia="Arial" w:hAnsi="Arial"/>
        </w:rPr>
        <w:t xml:space="preserve"> (</w:t>
      </w:r>
      <w:r>
        <w:rPr>
          <w:rFonts w:ascii="Consolas" w:cs="Consolas" w:eastAsia="Consolas" w:hAnsi="Consolas"/>
          <w:sz w:val="19"/>
          <w:szCs w:val="19"/>
          <w:shd w:fill="F4F4F4" w:color="auto" w:val="clear"/>
        </w:rPr>
        <w:t xml:space="preserve">mvn test</w:t>
      </w:r>
      <w:r>
        <w:rPr>
          <w:rFonts w:ascii="Arial" w:cs="Arial" w:eastAsia="Arial" w:hAnsi="Arial"/>
        </w:rPr>
        <w:t xml:space="preserve">), por ejemplo que el carrito no deje reservar más cupos de los que informa producto-service.</w:t>
      </w:r>
    </w:p>
    <w:p>
      <w:pPr>
        <w:pStyle w:val="ListParagraph"/>
        <w:numPr>
          <w:ilvl w:val="0"/>
          <w:numId w:val="4"/>
        </w:numPr>
        <w:spacing w:after="60" w:line="264"/>
      </w:pPr>
      <w:r>
        <w:rPr>
          <w:rFonts w:ascii="Arial" w:cs="Arial" w:eastAsia="Arial" w:hAnsi="Arial"/>
        </w:rPr>
        <w:t xml:space="preserve">Seguridad (guía 2.3.2): API STATELESS con JWT, BCrypt, @PreAuthorize para el rol ADMIN, CORS para el frontend y logs con SLF4J.</w:t>
      </w:r>
    </w:p>
    <w:p>
      <w:pPr>
        <w:pStyle w:val="ListParagraph"/>
        <w:numPr>
          <w:ilvl w:val="0"/>
          <w:numId w:val="4"/>
        </w:numPr>
        <w:spacing w:after="60" w:line="264"/>
      </w:pPr>
      <w:r>
        <w:rPr>
          <w:rFonts w:ascii="Arial" w:cs="Arial" w:eastAsia="Arial" w:hAnsi="Arial"/>
        </w:rPr>
        <w:t xml:space="preserve">Estilo igual al de Music Shop (Fullstack I): Lombok (@Data) en entidades y DTOs, @Autowired para inyectar, errores con ResponseStatusException que convierte el GlobalExceptionHandler, y carrito-service con una sola tabla (carrito_items).</w:t>
      </w:r>
    </w:p>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3 microservicios?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Porque cada uno resuelve una parte del negocio y se puede mantener o reiniciar sin tocar los otros: productos, usuarios y carrito. Cada uno tiene su puerto y su propia base de datos.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pasa si un microservicio se cae?</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 petición axios falla por tiempo o conexión (timeout de 3 s) y la página usa los datos locales. Si carrito-service no alcanza a producto-service, responde 503.</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¿Cómo se comunica React con ellos?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Con axios en services/api.js: GET para leer, POST para crear y PUT para actualizar. Las páginas lo llaman en un useEffect; si falla (catch) usan los datos locales.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 Un useEffect pide el catálogo a producto-service y lo guarda en el estado catalogo.</w:t>
      </w:r>
    </w:p>
    <w:p>
      <w:pPr>
        <w:pStyle w:val="ListParagraph"/>
        <w:numPr>
          <w:ilvl w:val="0"/>
          <w:numId w:val="4"/>
        </w:numPr>
        <w:spacing w:after="60" w:line="264"/>
      </w:pPr>
      <w:r>
        <w:rPr>
          <w:rFonts w:ascii="Arial" w:cs="Arial" w:eastAsia="Arial" w:hAnsi="Arial"/>
        </w:rPr>
        <w:t xml:space="preserve">App.jsx: useEffect guarda el carrito en localStorage y en carrito-service (PUT)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que usan todos los formularios.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(como el 401 de usuario-service). Como el login real es asíncrono (axios), el mock devuelve una promesa y espero la alerta con </w:t>
            </w:r>
            <w:r>
              <w:rPr>
                <w:rFonts w:ascii="Consolas" w:cs="Consolas" w:eastAsia="Consolas" w:hAnsi="Consolas"/>
                <w:sz w:val="17"/>
                <w:szCs w:val="17"/>
                <w:shd w:fill="F4F4F4" w:color="auto" w:val="clear"/>
              </w:rPr>
              <w:t xml:space="preserve">waitFor</w:t>
            </w:r>
            <w:r>
              <w:rPr>
                <w:rFonts w:ascii="Arial" w:cs="Arial" w:eastAsia="Arial" w:hAnsi="Arial"/>
                <w:sz w:val="18"/>
                <w:szCs w:val="18"/>
              </w:rPr>
              <w:t xml:space="preserve">.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Catálogo desde producto-service (mock)</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api.listarProductos</w:t>
            </w:r>
            <w:r>
              <w:rPr>
                <w:rFonts w:ascii="Arial" w:cs="Arial" w:eastAsia="Arial" w:hAnsi="Arial"/>
                <w:sz w:val="18"/>
                <w:szCs w:val="18"/>
              </w:rPr>
              <w:t xml:space="preserve"> se reemplaza por un spy que responde un diseño: la página lo muestra y dice "Catálogo desde producto-service", sin levantar Spring Boot.</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api.metodo = 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Todas (ayudas.jsx) y prueba 14</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Simula los microservicios: por defecto responden "sin conexión" y en la prueba 14 producto-service responde una lista controlada. Las pruebas no necesitan Spring Boot encendido.</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66,0 %</w:t>
      </w:r>
      <w:r>
        <w:rPr>
          <w:rFonts w:ascii="Arial" w:cs="Arial" w:eastAsia="Arial" w:hAnsi="Arial"/>
        </w:rPr>
        <w:t xml:space="preserve"> de sentencias, </w:t>
      </w:r>
      <w:r>
        <w:rPr>
          <w:rFonts w:ascii="Arial" w:cs="Arial" w:eastAsia="Arial" w:hAnsi="Arial"/>
          <w:b/>
          <w:bCs/>
        </w:rPr>
        <w:t xml:space="preserve">57,2 %</w:t>
      </w:r>
      <w:r>
        <w:rPr>
          <w:rFonts w:ascii="Arial" w:cs="Arial" w:eastAsia="Arial" w:hAnsi="Arial"/>
        </w:rPr>
        <w:t xml:space="preserve"> de ramas, </w:t>
      </w:r>
      <w:r>
        <w:rPr>
          <w:rFonts w:ascii="Arial" w:cs="Arial" w:eastAsia="Arial" w:hAnsi="Arial"/>
          <w:b/>
          <w:bCs/>
        </w:rPr>
        <w:t xml:space="preserve">65,9 %</w:t>
      </w:r>
      <w:r>
        <w:rPr>
          <w:rFonts w:ascii="Arial" w:cs="Arial" w:eastAsia="Arial" w:hAnsi="Arial"/>
        </w:rPr>
        <w:t xml:space="preserve"> de funciones y </w:t>
      </w:r>
      <w:r>
        <w:rPr>
          <w:rFonts w:ascii="Arial" w:cs="Arial" w:eastAsia="Arial" w:hAnsi="Arial"/>
          <w:b/>
          <w:bCs/>
        </w:rPr>
        <w:t xml:space="preserve">70,1 %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57,2 %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(8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Microservicios (1 min):</w:t>
      </w:r>
      <w:r>
        <w:rPr>
          <w:rFonts w:ascii="Arial" w:cs="Arial" w:eastAsia="Arial" w:hAnsi="Arial"/>
        </w:rPr>
        <w:t xml:space="preserve"> el catálogo dice "Catálogo desde producto-service"; en Postman haz login (token JWT), un 401 con clave mala y agrega un ítem al carrito (carrito-service consulta a producto-service).</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2026-10-22T04:02:37.755Z</dcterms:created>
  <dcterms:modified xsi:type="dcterms:W3CDTF">2026-10-22T04:02:37.764Z</dcterms:modified>
</cp:coreProperties>
</file>

<file path=docProps/custom.xml><?xml version="1.0" encoding="utf-8"?>
<Properties xmlns="http://schemas.openxmlformats.org/officeDocument/2006/custom-properties" xmlns:vt="http://schemas.openxmlformats.org/officeDocument/2006/docPropsVTypes"/>
</file>