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F3758"/>
          <w:sz w:val="52"/>
        </w:rPr>
        <w:t>Opportunistic In-Band DNS Freshness</w:t>
      </w:r>
    </w:p>
    <w:p>
      <w:pPr>
        <w:jc w:val="center"/>
      </w:pPr>
      <w:r>
        <w:rPr>
          <w:b/>
          <w:sz w:val="36"/>
        </w:rPr>
        <w:t>Chromium PoC &amp; Experimental Evidence</w:t>
      </w:r>
    </w:p>
    <w:p>
      <w:pPr>
        <w:jc w:val="center"/>
      </w:pPr>
      <w:r>
        <w:t>Technical Evidence Report v0.3</w:t>
      </w:r>
    </w:p>
    <w:p>
      <w:pPr>
        <w:spacing w:before="80" w:after="0"/>
        <w:jc w:val="center"/>
      </w:pPr>
      <w:r>
        <w:rPr>
          <w:b/>
          <w:sz w:val="21"/>
        </w:rPr>
        <w:t>Author: Marc Nicolai Fronemann</w:t>
      </w:r>
    </w:p>
    <w:p>
      <w:pPr>
        <w:spacing w:before="200"/>
        <w:jc w:val="center"/>
      </w:pPr>
      <w:r>
        <w:t>Frozen evidence through 25 August 2026 | related-work-aware review revision</w:t>
      </w:r>
    </w:p>
    <w:p>
      <w:pPr>
        <w:spacing w:after="200"/>
      </w:pPr>
    </w:p>
    <w:tbl>
      <w:tblPr>
        <w:tblW w:type="auto" w:w="0"/>
        <w:jc w:val="center"/>
        <w:tblLayout w:type="autofit"/>
        <w:tblLook w:firstColumn="1" w:firstRow="1" w:lastColumn="0" w:lastRow="0" w:noHBand="0" w:noVBand="1" w:val="04A0"/>
      </w:tblPr>
      <w:tblGrid>
        <w:gridCol w:w="10200"/>
      </w:tblGrid>
      <w:tr>
        <w:trPr>
          <w:cantSplit/>
        </w:trPr>
        <w:tc>
          <w:tcPr>
            <w:tcW w:type="dxa" w:w="10200"/>
            <w:shd w:fill="EEF2F6"/>
            <w:tcMar>
              <w:top w:w="120" w:type="dxa"/>
              <w:start w:w="140" w:type="dxa"/>
              <w:bottom w:w="120" w:type="dxa"/>
              <w:end w:w="140" w:type="dxa"/>
            </w:tcMar>
          </w:tcPr>
          <w:p>
            <w:pPr>
              <w:spacing w:after="80"/>
            </w:pPr>
            <w:r>
              <w:rPr>
                <w:b/>
                <w:sz w:val="23"/>
              </w:rPr>
              <w:t>Purpose</w:t>
            </w:r>
          </w:p>
          <w:p>
            <w:pPr>
              <w:spacing w:after="0" w:line="252" w:lineRule="auto"/>
            </w:pPr>
            <w:r>
              <w:rPr>
                <w:sz w:val="18"/>
              </w:rPr>
              <w:t>Provide an external engineering team with a falsifiable, reproducible account of what the local PoC demonstrated, what was measured, what is inferred, and what still requires independent validation. This revision sharpens the contribution boundary against HTTP Alt-Svc, SVCB/HTTPS, QUIC preferred_address, DNS Push, short-TTL operation, and RFC 9102 TLS DNSSEC Chain; it also narrows the statistical and single-capture wire claims.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1871"/>
            <w:shd w:fill="D9E2F3"/>
            <w:vAlign w:val="center"/>
            <w:tcMar>
              <w:top w:w="70" w:type="dxa"/>
              <w:start w:w="90" w:type="dxa"/>
              <w:bottom w:w="70" w:type="dxa"/>
              <w:end w:w="90" w:type="dxa"/>
            </w:tcMar>
          </w:tcPr>
          <w:p>
            <w:r>
              <w:rPr>
                <w:b/>
                <w:sz w:val="17"/>
              </w:rPr>
              <w:t>Evidence class</w:t>
            </w:r>
          </w:p>
        </w:tc>
        <w:tc>
          <w:tcPr>
            <w:tcW w:type="dxa" w:w="7200"/>
            <w:shd w:fill="D9E2F3"/>
            <w:vAlign w:val="center"/>
            <w:tcMar>
              <w:top w:w="70" w:type="dxa"/>
              <w:start w:w="90" w:type="dxa"/>
              <w:bottom w:w="70" w:type="dxa"/>
              <w:end w:w="90" w:type="dxa"/>
            </w:tcMar>
          </w:tcPr>
          <w:p>
            <w:r>
              <w:rPr>
                <w:b/>
                <w:sz w:val="17"/>
              </w:rPr>
              <w:t>Result</w:t>
            </w:r>
          </w:p>
        </w:tc>
      </w:tr>
      <w:tr>
        <w:trPr>
          <w:cantSplit/>
        </w:trPr>
        <w:tc>
          <w:tcPr>
            <w:tcW w:type="dxa" w:w="1871"/>
            <w:vAlign w:val="top"/>
            <w:tcMar>
              <w:top w:w="70" w:type="dxa"/>
              <w:start w:w="90" w:type="dxa"/>
              <w:bottom w:w="70" w:type="dxa"/>
              <w:end w:w="90" w:type="dxa"/>
            </w:tcMar>
          </w:tcPr>
          <w:p>
            <w:pPr>
              <w:spacing w:after="20"/>
            </w:pPr>
            <w:r>
              <w:rPr>
                <w:sz w:val="17"/>
              </w:rPr>
              <w:t>DEMONSTRATED</w:t>
            </w:r>
          </w:p>
        </w:tc>
        <w:tc>
          <w:tcPr>
            <w:tcW w:type="dxa" w:w="7200"/>
            <w:vAlign w:val="top"/>
            <w:tcMar>
              <w:top w:w="70" w:type="dxa"/>
              <w:start w:w="90" w:type="dxa"/>
              <w:bottom w:w="70" w:type="dxa"/>
              <w:end w:w="90" w:type="dxa"/>
            </w:tcMar>
          </w:tcPr>
          <w:p>
            <w:pPr>
              <w:spacing w:after="20"/>
            </w:pPr>
            <w:r>
              <w:rPr>
                <w:sz w:val="17"/>
              </w:rPr>
              <w:t>Modified Chromium 151 learned endpoint 172.18.0.12 through signed in-band Freshness, the old 172.18.0.61 endpoint was then physically removed, and the next HTTP/3 request reached 172.18.0.12 with HTTP 200 while the Authority observed zero DNS queries for a.service.test during the cutover.</w:t>
            </w:r>
          </w:p>
        </w:tc>
      </w:tr>
      <w:tr>
        <w:trPr>
          <w:cantSplit/>
        </w:trPr>
        <w:tc>
          <w:tcPr>
            <w:tcW w:type="dxa" w:w="1871"/>
            <w:vAlign w:val="top"/>
            <w:tcMar>
              <w:top w:w="70" w:type="dxa"/>
              <w:start w:w="90" w:type="dxa"/>
              <w:bottom w:w="70" w:type="dxa"/>
              <w:end w:w="90" w:type="dxa"/>
            </w:tcMar>
          </w:tcPr>
          <w:p>
            <w:pPr>
              <w:spacing w:after="20"/>
            </w:pPr>
            <w:r>
              <w:rPr>
                <w:sz w:val="17"/>
              </w:rPr>
              <w:t>MEASURED</w:t>
            </w:r>
          </w:p>
        </w:tc>
        <w:tc>
          <w:tcPr>
            <w:tcW w:type="dxa" w:w="7200"/>
            <w:vAlign w:val="top"/>
            <w:tcMar>
              <w:top w:w="70" w:type="dxa"/>
              <w:start w:w="90" w:type="dxa"/>
              <w:bottom w:w="70" w:type="dxa"/>
              <w:end w:w="90" w:type="dxa"/>
            </w:tcMar>
          </w:tcPr>
          <w:p>
            <w:pPr>
              <w:spacing w:after="20"/>
            </w:pPr>
            <w:r>
              <w:rPr>
                <w:sz w:val="17"/>
              </w:rPr>
              <w:t>Across 100 paired Chromium/H3 repetitions, Delta and NoChange distributions overlapped strongly (means 29.374 ms vs 29.251 ms; paired Delta-NoChange range -6.747 ms to +8.229 ms). The same application QUIC connection was used in 100/100 repetitions. The +0.123 ms paired mean is retained only as a descriptive point estimate, not as a statistically resolved protocol overhead.</w:t>
            </w:r>
          </w:p>
        </w:tc>
      </w:tr>
      <w:tr>
        <w:trPr>
          <w:cantSplit/>
        </w:trPr>
        <w:tc>
          <w:tcPr>
            <w:tcW w:type="dxa" w:w="1871"/>
            <w:vAlign w:val="top"/>
            <w:tcMar>
              <w:top w:w="70" w:type="dxa"/>
              <w:start w:w="90" w:type="dxa"/>
              <w:bottom w:w="70" w:type="dxa"/>
              <w:end w:w="90" w:type="dxa"/>
            </w:tcMar>
          </w:tcPr>
          <w:p>
            <w:pPr>
              <w:spacing w:after="20"/>
            </w:pPr>
            <w:r>
              <w:rPr>
                <w:sz w:val="17"/>
              </w:rPr>
              <w:t>OBSERVED (n=1)</w:t>
            </w:r>
          </w:p>
        </w:tc>
        <w:tc>
          <w:tcPr>
            <w:tcW w:type="dxa" w:w="7200"/>
            <w:vAlign w:val="top"/>
            <w:tcMar>
              <w:top w:w="70" w:type="dxa"/>
              <w:start w:w="90" w:type="dxa"/>
              <w:bottom w:w="70" w:type="dxa"/>
              <w:end w:w="90" w:type="dxa"/>
            </w:tcMar>
          </w:tcPr>
          <w:p>
            <w:pPr>
              <w:spacing w:after="20"/>
            </w:pPr>
            <w:r>
              <w:rPr>
                <w:sz w:val="17"/>
              </w:rPr>
              <w:t>One H3/QUIC capture observed Delta 733 B UDP vs NoChange 495 B UDP (+238 B total UDP; +182 B approximate L3). These wire-byte and packet deltas are trace-specific observations, not protocol constants. The deterministic fullstack Delta object size (273 B COSE) is the stronger object-level size fact.</w:t>
            </w:r>
          </w:p>
        </w:tc>
      </w:tr>
      <w:tr>
        <w:trPr>
          <w:cantSplit/>
        </w:trPr>
        <w:tc>
          <w:tcPr>
            <w:tcW w:type="dxa" w:w="1871"/>
            <w:vAlign w:val="top"/>
            <w:tcMar>
              <w:top w:w="70" w:type="dxa"/>
              <w:start w:w="90" w:type="dxa"/>
              <w:bottom w:w="70" w:type="dxa"/>
              <w:end w:w="90" w:type="dxa"/>
            </w:tcMar>
          </w:tcPr>
          <w:p>
            <w:pPr>
              <w:spacing w:after="20"/>
            </w:pPr>
            <w:r>
              <w:rPr>
                <w:sz w:val="17"/>
              </w:rPr>
              <w:t>NOT CLAIMED</w:t>
            </w:r>
          </w:p>
        </w:tc>
        <w:tc>
          <w:tcPr>
            <w:tcW w:type="dxa" w:w="7200"/>
            <w:vAlign w:val="top"/>
            <w:tcMar>
              <w:top w:w="70" w:type="dxa"/>
              <w:start w:w="90" w:type="dxa"/>
              <w:bottom w:w="70" w:type="dxa"/>
              <w:end w:w="90" w:type="dxa"/>
            </w:tcMar>
          </w:tcPr>
          <w:p>
            <w:pPr>
              <w:spacing w:after="20"/>
            </w:pPr>
            <w:r>
              <w:rPr>
                <w:sz w:val="17"/>
              </w:rPr>
              <w:t>No direct production-grade end-to-end Classic-DNS-vs-Freshness recovery latency delta, no Internet-scale validation, no universal superiority over DNS or DNS Push, and no production readiness claim.</w:t>
            </w:r>
          </w:p>
        </w:tc>
      </w:tr>
    </w:tbl>
    <w:p>
      <w:pPr>
        <w:spacing w:after="0"/>
      </w:pPr>
    </w:p>
    <w:p>
      <w:pPr>
        <w:jc w:val="center"/>
      </w:pPr>
      <w:r>
        <w:rPr>
          <w:b/>
        </w:rPr>
        <w:t>External-review posture: reproduce it, stress it, and try to break it.</w:t>
      </w:r>
    </w:p>
    <w:p>
      <w:r>
        <w:br w:type="page"/>
      </w:r>
    </w:p>
    <w:p>
      <w:pPr>
        <w:pStyle w:val="Heading1"/>
      </w:pPr>
      <w:r>
        <w:t>1. Executive Summary</w:t>
      </w:r>
    </w:p>
    <w:p>
      <w:pPr>
        <w:spacing w:after="140"/>
      </w:pPr>
      <w:r>
        <w:t>This report documents a local research PoC for opportunistic, signed DNS-state freshness carried on natural application traffic. The design does not replace DNS. DNS remains the bootstrap path, DNSSEC-rooted trust source, recovery mechanism, and fallback when application-path continuity or authorization cannot be established. After admission, active service state can be reconciled using signed Snapshot, Checkpoint and Delta objects transported on ordinary H2/H3 traffic.</w:t>
      </w:r>
    </w:p>
    <w:tbl>
      <w:tblPr>
        <w:tblW w:type="auto" w:w="0"/>
        <w:jc w:val="center"/>
        <w:tblLayout w:type="autofit"/>
        <w:tblLook w:firstColumn="1" w:firstRow="1" w:lastColumn="0" w:lastRow="0" w:noHBand="0" w:noVBand="1" w:val="04A0"/>
      </w:tblPr>
      <w:tblGrid>
        <w:gridCol w:w="10200"/>
      </w:tblGrid>
      <w:tr>
        <w:trPr>
          <w:cantSplit/>
        </w:trPr>
        <w:tc>
          <w:tcPr>
            <w:tcW w:type="dxa" w:w="10200"/>
            <w:shd w:fill="EEF2F6"/>
            <w:tcMar>
              <w:top w:w="120" w:type="dxa"/>
              <w:start w:w="140" w:type="dxa"/>
              <w:bottom w:w="120" w:type="dxa"/>
              <w:end w:w="140" w:type="dxa"/>
            </w:tcMar>
          </w:tcPr>
          <w:p>
            <w:pPr>
              <w:spacing w:after="80"/>
            </w:pPr>
            <w:r>
              <w:rPr>
                <w:b/>
                <w:sz w:val="23"/>
              </w:rPr>
              <w:t>Core architectural idea</w:t>
            </w:r>
          </w:p>
          <w:p>
            <w:pPr>
              <w:spacing w:after="0" w:line="252" w:lineRule="auto"/>
            </w:pPr>
            <w:r>
              <w:t>For an admitted active service, the design changes the freshness operating point from timer-driven revalidation toward opportunistic change-driven reconciliation. A surviving authorized application path can carry an Authority-signed transition before stale endpoints disappear, so the client can converge to new DNS-derived connectivity state without waiting for TTL expiry or first suffering a connection failure. The carrier is traffic the application was already going to send; the signed object carries the authority proof independently of the relay.</w:t>
            </w:r>
          </w:p>
          <w:p>
            <w:pPr>
              <w:spacing w:before="100" w:after="40"/>
            </w:pPr>
            <w:r>
              <w:rPr>
                <w:b/>
                <w:sz w:val="18"/>
              </w:rPr>
              <w:t>Contribution boundary</w:t>
            </w:r>
          </w:p>
          <w:p>
            <w:pPr>
              <w:spacing w:after="0"/>
            </w:pPr>
            <w:r>
              <w:rPr>
                <w:sz w:val="18"/>
              </w:rPr>
              <w:t>Neither in-band advertisement of a future HTTP endpoint nor in-band carriage of DNSSEC-validatable material is claimed as novel. RFC 7838 Alt-Svc establishes the former; RFC 9102 TLS DNSSEC Chain is a close precedent for the latter in the DANE/TLSA handshake context. The system studied here is a DNSSEC-rooted, independently verifiable reconciliation layer for DNS-derived service state: Authority-signed scope membership, generation plus state digest, exact Delta ancestry, bounded leases, fork/gap detection, emergency root reset, eviction semantics, scope-wide repair, and fail-safe DNS recovery. The application path is the opportunistic carrier, not the source of authority.</w:t>
            </w:r>
          </w:p>
        </w:tc>
      </w:tr>
    </w:tbl>
    <w:p>
      <w:pPr>
        <w:spacing w:after="0"/>
      </w:pPr>
    </w:p>
    <w:p>
      <w:pPr>
        <w:pStyle w:val="ListBullet"/>
        <w:spacing w:after="40"/>
      </w:pPr>
      <w:r>
        <w:t>DNS remains authoritative for cold admission, root trust and recovery.</w:t>
      </w:r>
    </w:p>
    <w:p>
      <w:pPr>
        <w:pStyle w:val="ListBullet"/>
        <w:spacing w:after="40"/>
      </w:pPr>
      <w:r>
        <w:t>Freshness is opportunistic: no application traffic means no Freshness-only traffic.</w:t>
      </w:r>
    </w:p>
    <w:p>
      <w:pPr>
        <w:pStyle w:val="ListBullet"/>
        <w:spacing w:after="40"/>
      </w:pPr>
      <w:r>
        <w:t>State is Authority-signed; an application relay can transport/cache objects but cannot forge authorized state without the relevant signing key.</w:t>
      </w:r>
    </w:p>
    <w:p>
      <w:pPr>
        <w:pStyle w:val="ListBullet"/>
        <w:spacing w:after="40"/>
      </w:pPr>
      <w:r>
        <w:t>Active-interest generation gaps, forks, trust expiry and lease expiry fail toward recovery rather than silent state advancement.</w:t>
      </w:r>
    </w:p>
    <w:p>
      <w:pPr>
        <w:pStyle w:val="ListBullet"/>
        <w:spacing w:after="40"/>
      </w:pPr>
      <w:r>
        <w:t>Eviction ends update interest; a later reuse is a fresh admission at the current authoritative head, not an obligation to reconstruct discarded generations.</w:t>
      </w:r>
    </w:p>
    <w:p>
      <w:pPr>
        <w:pStyle w:val="ListBullet"/>
        <w:spacing w:after="40"/>
      </w:pPr>
      <w:r>
        <w:t>The strongest target operating point is an actively used service where application traffic already exists. DNS Push retains a distinct advantage when updates must arrive during complete application silence.</w:t>
      </w:r>
    </w:p>
    <w:p>
      <w:pPr>
        <w:pStyle w:val="Heading1"/>
      </w:pPr>
      <w:r>
        <w:t>2. Problem and Operating Point</w:t>
      </w:r>
    </w:p>
    <w:p>
      <w:r>
        <w:t>Classic DNS caching is intentionally time-based: a TTL bounds how long cached data may be reused; it is not a change-notification channel. After an Authority changes state, a client that continues to rely on a still-valid cached answer does not receive a DNS-level change signal solely because that Authority state changed. Resolver prefetch, proactive revalidation, or application-specific mechanisms can shorten this window in practice, so this is not a claim that every client must remain stale until TTL expiry. In the lab, after the Authority moved a.service.test from 172.18.0.61 to 172.18.0.12, the Classic Unbound resolver was explicitly observed still returning 172.18.0.61 with a positive remaining TTL. This is normal TTL behavior, not a resolver defect.</w:t>
      </w:r>
    </w:p>
    <w:p>
      <w:r>
        <w:t>Opportunistic Freshness explores a different operating point for services that are already active and still have at least one authorized usable path. Signed Snapshot, Checkpoint, or Delta state can reconcile the bounded service scope on natural application traffic, allowing pre-failure convergence to a replacement state while a valid Freshness lease is active. When continuity, trust, exact ancestry, or lease validity is lost, conventional DNS/cache policy resumes authority. The design therefore does not abolish TTL; it removes timer expiry from the recurring freshness-critical path of successfully admitted active state.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381"/>
            <w:shd w:fill="D9E2F3"/>
            <w:vAlign w:val="center"/>
            <w:tcMar>
              <w:top w:w="70" w:type="dxa"/>
              <w:start w:w="90" w:type="dxa"/>
              <w:bottom w:w="70" w:type="dxa"/>
              <w:end w:w="90" w:type="dxa"/>
            </w:tcMar>
          </w:tcPr>
          <w:p>
            <w:r>
              <w:rPr>
                <w:b/>
                <w:sz w:val="16"/>
              </w:rPr>
              <w:t>Property</w:t>
            </w:r>
          </w:p>
        </w:tc>
        <w:tc>
          <w:tcPr>
            <w:tcW w:type="dxa" w:w="2211"/>
            <w:shd w:fill="D9E2F3"/>
            <w:vAlign w:val="center"/>
            <w:tcMar>
              <w:top w:w="70" w:type="dxa"/>
              <w:start w:w="90" w:type="dxa"/>
              <w:bottom w:w="70" w:type="dxa"/>
              <w:end w:w="90" w:type="dxa"/>
            </w:tcMar>
          </w:tcPr>
          <w:p>
            <w:r>
              <w:rPr>
                <w:b/>
                <w:sz w:val="16"/>
              </w:rPr>
              <w:t>Classic DNS / TTL</w:t>
            </w:r>
          </w:p>
        </w:tc>
        <w:tc>
          <w:tcPr>
            <w:tcW w:type="dxa" w:w="2211"/>
            <w:shd w:fill="D9E2F3"/>
            <w:vAlign w:val="center"/>
            <w:tcMar>
              <w:top w:w="70" w:type="dxa"/>
              <w:start w:w="90" w:type="dxa"/>
              <w:bottom w:w="70" w:type="dxa"/>
              <w:end w:w="90" w:type="dxa"/>
            </w:tcMar>
          </w:tcPr>
          <w:p>
            <w:r>
              <w:rPr>
                <w:b/>
                <w:sz w:val="16"/>
              </w:rPr>
              <w:t>DNS Push</w:t>
            </w:r>
          </w:p>
        </w:tc>
        <w:tc>
          <w:tcPr>
            <w:tcW w:type="dxa" w:w="2268"/>
            <w:shd w:fill="D9E2F3"/>
            <w:vAlign w:val="center"/>
            <w:tcMar>
              <w:top w:w="70" w:type="dxa"/>
              <w:start w:w="90" w:type="dxa"/>
              <w:bottom w:w="70" w:type="dxa"/>
              <w:end w:w="90" w:type="dxa"/>
            </w:tcMar>
          </w:tcPr>
          <w:p>
            <w:r>
              <w:rPr>
                <w:b/>
                <w:sz w:val="16"/>
              </w:rPr>
              <w:t>Opportunistic Freshness</w:t>
            </w:r>
          </w:p>
        </w:tc>
      </w:tr>
      <w:tr>
        <w:trPr>
          <w:cantSplit/>
        </w:trPr>
        <w:tc>
          <w:tcPr>
            <w:tcW w:type="dxa" w:w="2381"/>
            <w:vAlign w:val="top"/>
            <w:tcMar>
              <w:top w:w="70" w:type="dxa"/>
              <w:start w:w="90" w:type="dxa"/>
              <w:bottom w:w="70" w:type="dxa"/>
              <w:end w:w="90" w:type="dxa"/>
            </w:tcMar>
          </w:tcPr>
          <w:p>
            <w:pPr>
              <w:spacing w:after="20"/>
            </w:pPr>
            <w:r>
              <w:rPr>
                <w:sz w:val="16"/>
              </w:rPr>
              <w:t>Cold bootstrap</w:t>
            </w:r>
          </w:p>
        </w:tc>
        <w:tc>
          <w:tcPr>
            <w:tcW w:type="dxa" w:w="2211"/>
            <w:vAlign w:val="top"/>
            <w:tcMar>
              <w:top w:w="70" w:type="dxa"/>
              <w:start w:w="90" w:type="dxa"/>
              <w:bottom w:w="70" w:type="dxa"/>
              <w:end w:w="90" w:type="dxa"/>
            </w:tcMar>
          </w:tcPr>
          <w:p>
            <w:pPr>
              <w:spacing w:after="20"/>
            </w:pPr>
            <w:r>
              <w:rPr>
                <w:sz w:val="16"/>
              </w:rPr>
              <w:t>Yes</w:t>
            </w:r>
          </w:p>
        </w:tc>
        <w:tc>
          <w:tcPr>
            <w:tcW w:type="dxa" w:w="2211"/>
            <w:vAlign w:val="top"/>
            <w:tcMar>
              <w:top w:w="70" w:type="dxa"/>
              <w:start w:w="90" w:type="dxa"/>
              <w:bottom w:w="70" w:type="dxa"/>
              <w:end w:w="90" w:type="dxa"/>
            </w:tcMar>
          </w:tcPr>
          <w:p>
            <w:pPr>
              <w:spacing w:after="20"/>
            </w:pPr>
            <w:r>
              <w:rPr>
                <w:sz w:val="16"/>
              </w:rPr>
              <w:t>Yes</w:t>
            </w:r>
          </w:p>
        </w:tc>
        <w:tc>
          <w:tcPr>
            <w:tcW w:type="dxa" w:w="2268"/>
            <w:vAlign w:val="top"/>
            <w:tcMar>
              <w:top w:w="70" w:type="dxa"/>
              <w:start w:w="90" w:type="dxa"/>
              <w:bottom w:w="70" w:type="dxa"/>
              <w:end w:w="90" w:type="dxa"/>
            </w:tcMar>
          </w:tcPr>
          <w:p>
            <w:pPr>
              <w:spacing w:after="20"/>
            </w:pPr>
            <w:r>
              <w:rPr>
                <w:sz w:val="16"/>
              </w:rPr>
              <w:t>Yes</w:t>
            </w:r>
          </w:p>
        </w:tc>
      </w:tr>
      <w:tr>
        <w:trPr>
          <w:cantSplit/>
        </w:trPr>
        <w:tc>
          <w:tcPr>
            <w:tcW w:type="dxa" w:w="2381"/>
            <w:vAlign w:val="top"/>
            <w:tcMar>
              <w:top w:w="70" w:type="dxa"/>
              <w:start w:w="90" w:type="dxa"/>
              <w:bottom w:w="70" w:type="dxa"/>
              <w:end w:w="90" w:type="dxa"/>
            </w:tcMar>
          </w:tcPr>
          <w:p>
            <w:pPr>
              <w:spacing w:after="20"/>
            </w:pPr>
            <w:r>
              <w:rPr>
                <w:sz w:val="16"/>
              </w:rPr>
              <w:t>Freshness while app idle</w:t>
            </w:r>
          </w:p>
        </w:tc>
        <w:tc>
          <w:tcPr>
            <w:tcW w:type="dxa" w:w="2211"/>
            <w:vAlign w:val="top"/>
            <w:tcMar>
              <w:top w:w="70" w:type="dxa"/>
              <w:start w:w="90" w:type="dxa"/>
              <w:bottom w:w="70" w:type="dxa"/>
              <w:end w:w="90" w:type="dxa"/>
            </w:tcMar>
          </w:tcPr>
          <w:p>
            <w:pPr>
              <w:spacing w:after="20"/>
            </w:pPr>
            <w:r>
              <w:rPr>
                <w:sz w:val="16"/>
              </w:rPr>
              <w:t>TTL-driven / on demand</w:t>
            </w:r>
          </w:p>
        </w:tc>
        <w:tc>
          <w:tcPr>
            <w:tcW w:type="dxa" w:w="2211"/>
            <w:vAlign w:val="top"/>
            <w:tcMar>
              <w:top w:w="70" w:type="dxa"/>
              <w:start w:w="90" w:type="dxa"/>
              <w:bottom w:w="70" w:type="dxa"/>
              <w:end w:w="90" w:type="dxa"/>
            </w:tcMar>
          </w:tcPr>
          <w:p>
            <w:pPr>
              <w:spacing w:after="20"/>
            </w:pPr>
            <w:r>
              <w:rPr>
                <w:sz w:val="16"/>
              </w:rPr>
              <w:t>Asynchronous push capable</w:t>
            </w:r>
          </w:p>
        </w:tc>
        <w:tc>
          <w:tcPr>
            <w:tcW w:type="dxa" w:w="2268"/>
            <w:vAlign w:val="top"/>
            <w:tcMar>
              <w:top w:w="70" w:type="dxa"/>
              <w:start w:w="90" w:type="dxa"/>
              <w:bottom w:w="70" w:type="dxa"/>
              <w:end w:w="90" w:type="dxa"/>
            </w:tcMar>
          </w:tcPr>
          <w:p>
            <w:pPr>
              <w:spacing w:after="20"/>
            </w:pPr>
            <w:r>
              <w:rPr>
                <w:sz w:val="16"/>
              </w:rPr>
              <w:t>No delivery until natural app traffic</w:t>
            </w:r>
          </w:p>
        </w:tc>
      </w:tr>
      <w:tr>
        <w:trPr>
          <w:cantSplit/>
        </w:trPr>
        <w:tc>
          <w:tcPr>
            <w:tcW w:type="dxa" w:w="2381"/>
            <w:vAlign w:val="top"/>
            <w:tcMar>
              <w:top w:w="70" w:type="dxa"/>
              <w:start w:w="90" w:type="dxa"/>
              <w:bottom w:w="70" w:type="dxa"/>
              <w:end w:w="90" w:type="dxa"/>
            </w:tcMar>
          </w:tcPr>
          <w:p>
            <w:pPr>
              <w:spacing w:after="20"/>
            </w:pPr>
            <w:r>
              <w:rPr>
                <w:sz w:val="16"/>
              </w:rPr>
              <w:t>Dedicated update relationship</w:t>
            </w:r>
          </w:p>
        </w:tc>
        <w:tc>
          <w:tcPr>
            <w:tcW w:type="dxa" w:w="2211"/>
            <w:vAlign w:val="top"/>
            <w:tcMar>
              <w:top w:w="70" w:type="dxa"/>
              <w:start w:w="90" w:type="dxa"/>
              <w:bottom w:w="70" w:type="dxa"/>
              <w:end w:w="90" w:type="dxa"/>
            </w:tcMar>
          </w:tcPr>
          <w:p>
            <w:pPr>
              <w:spacing w:after="20"/>
            </w:pPr>
            <w:r>
              <w:rPr>
                <w:sz w:val="16"/>
              </w:rPr>
              <w:t>No</w:t>
            </w:r>
          </w:p>
        </w:tc>
        <w:tc>
          <w:tcPr>
            <w:tcW w:type="dxa" w:w="2211"/>
            <w:vAlign w:val="top"/>
            <w:tcMar>
              <w:top w:w="70" w:type="dxa"/>
              <w:start w:w="90" w:type="dxa"/>
              <w:bottom w:w="70" w:type="dxa"/>
              <w:end w:w="90" w:type="dxa"/>
            </w:tcMar>
          </w:tcPr>
          <w:p>
            <w:pPr>
              <w:spacing w:after="20"/>
            </w:pPr>
            <w:r>
              <w:rPr>
                <w:sz w:val="16"/>
              </w:rPr>
              <w:t>Yes (DSO subscription/session)</w:t>
            </w:r>
          </w:p>
        </w:tc>
        <w:tc>
          <w:tcPr>
            <w:tcW w:type="dxa" w:w="2268"/>
            <w:vAlign w:val="top"/>
            <w:tcMar>
              <w:top w:w="70" w:type="dxa"/>
              <w:start w:w="90" w:type="dxa"/>
              <w:bottom w:w="70" w:type="dxa"/>
              <w:end w:w="90" w:type="dxa"/>
            </w:tcMar>
          </w:tcPr>
          <w:p>
            <w:pPr>
              <w:spacing w:after="20"/>
            </w:pPr>
            <w:r>
              <w:rPr>
                <w:sz w:val="16"/>
              </w:rPr>
              <w:t>No</w:t>
            </w:r>
          </w:p>
        </w:tc>
      </w:tr>
      <w:tr>
        <w:trPr>
          <w:cantSplit/>
        </w:trPr>
        <w:tc>
          <w:tcPr>
            <w:tcW w:type="dxa" w:w="2381"/>
            <w:vAlign w:val="top"/>
            <w:tcMar>
              <w:top w:w="70" w:type="dxa"/>
              <w:start w:w="90" w:type="dxa"/>
              <w:bottom w:w="70" w:type="dxa"/>
              <w:end w:w="90" w:type="dxa"/>
            </w:tcMar>
          </w:tcPr>
          <w:p>
            <w:pPr>
              <w:spacing w:after="20"/>
            </w:pPr>
            <w:r>
              <w:rPr>
                <w:sz w:val="16"/>
              </w:rPr>
              <w:t>Freshness-only idle traffic</w:t>
            </w:r>
          </w:p>
        </w:tc>
        <w:tc>
          <w:tcPr>
            <w:tcW w:type="dxa" w:w="2211"/>
            <w:vAlign w:val="top"/>
            <w:tcMar>
              <w:top w:w="70" w:type="dxa"/>
              <w:start w:w="90" w:type="dxa"/>
              <w:bottom w:w="70" w:type="dxa"/>
              <w:end w:w="90" w:type="dxa"/>
            </w:tcMar>
          </w:tcPr>
          <w:p>
            <w:pPr>
              <w:spacing w:after="20"/>
            </w:pPr>
            <w:r>
              <w:rPr>
                <w:sz w:val="16"/>
              </w:rPr>
              <w:t>No</w:t>
            </w:r>
          </w:p>
        </w:tc>
        <w:tc>
          <w:tcPr>
            <w:tcW w:type="dxa" w:w="2211"/>
            <w:vAlign w:val="top"/>
            <w:tcMar>
              <w:top w:w="70" w:type="dxa"/>
              <w:start w:w="90" w:type="dxa"/>
              <w:bottom w:w="70" w:type="dxa"/>
              <w:end w:w="90" w:type="dxa"/>
            </w:tcMar>
          </w:tcPr>
          <w:p>
            <w:pPr>
              <w:spacing w:after="20"/>
            </w:pPr>
            <w:r>
              <w:rPr>
                <w:sz w:val="16"/>
              </w:rPr>
              <w:t>Session/keepalive may exist</w:t>
            </w:r>
          </w:p>
        </w:tc>
        <w:tc>
          <w:tcPr>
            <w:tcW w:type="dxa" w:w="2268"/>
            <w:vAlign w:val="top"/>
            <w:tcMar>
              <w:top w:w="70" w:type="dxa"/>
              <w:start w:w="90" w:type="dxa"/>
              <w:bottom w:w="70" w:type="dxa"/>
              <w:end w:w="90" w:type="dxa"/>
            </w:tcMar>
          </w:tcPr>
          <w:p>
            <w:pPr>
              <w:spacing w:after="20"/>
            </w:pPr>
            <w:r>
              <w:rPr>
                <w:sz w:val="16"/>
              </w:rPr>
              <w:t>0 by design</w:t>
            </w:r>
          </w:p>
        </w:tc>
      </w:tr>
      <w:tr>
        <w:trPr>
          <w:cantSplit/>
        </w:trPr>
        <w:tc>
          <w:tcPr>
            <w:tcW w:type="dxa" w:w="2381"/>
            <w:vAlign w:val="top"/>
            <w:tcMar>
              <w:top w:w="70" w:type="dxa"/>
              <w:start w:w="90" w:type="dxa"/>
              <w:bottom w:w="70" w:type="dxa"/>
              <w:end w:w="90" w:type="dxa"/>
            </w:tcMar>
          </w:tcPr>
          <w:p>
            <w:pPr>
              <w:spacing w:after="20"/>
            </w:pPr>
            <w:r>
              <w:rPr>
                <w:sz w:val="16"/>
              </w:rPr>
              <w:t>Natural app path transports updates</w:t>
            </w:r>
          </w:p>
        </w:tc>
        <w:tc>
          <w:tcPr>
            <w:tcW w:type="dxa" w:w="2211"/>
            <w:vAlign w:val="top"/>
            <w:tcMar>
              <w:top w:w="70" w:type="dxa"/>
              <w:start w:w="90" w:type="dxa"/>
              <w:bottom w:w="70" w:type="dxa"/>
              <w:end w:w="90" w:type="dxa"/>
            </w:tcMar>
          </w:tcPr>
          <w:p>
            <w:pPr>
              <w:spacing w:after="20"/>
            </w:pPr>
            <w:r>
              <w:rPr>
                <w:sz w:val="16"/>
              </w:rPr>
              <w:t>No</w:t>
            </w:r>
          </w:p>
        </w:tc>
        <w:tc>
          <w:tcPr>
            <w:tcW w:type="dxa" w:w="2211"/>
            <w:vAlign w:val="top"/>
            <w:tcMar>
              <w:top w:w="70" w:type="dxa"/>
              <w:start w:w="90" w:type="dxa"/>
              <w:bottom w:w="70" w:type="dxa"/>
              <w:end w:w="90" w:type="dxa"/>
            </w:tcMar>
          </w:tcPr>
          <w:p>
            <w:pPr>
              <w:spacing w:after="20"/>
            </w:pPr>
            <w:r>
              <w:rPr>
                <w:sz w:val="16"/>
              </w:rPr>
              <w:t>Not the primary mechanism</w:t>
            </w:r>
          </w:p>
        </w:tc>
        <w:tc>
          <w:tcPr>
            <w:tcW w:type="dxa" w:w="2268"/>
            <w:vAlign w:val="top"/>
            <w:tcMar>
              <w:top w:w="70" w:type="dxa"/>
              <w:start w:w="90" w:type="dxa"/>
              <w:bottom w:w="70" w:type="dxa"/>
              <w:end w:w="90" w:type="dxa"/>
            </w:tcMar>
          </w:tcPr>
          <w:p>
            <w:pPr>
              <w:spacing w:after="20"/>
            </w:pPr>
            <w:r>
              <w:rPr>
                <w:sz w:val="16"/>
              </w:rPr>
              <w:t>Yes</w:t>
            </w:r>
          </w:p>
        </w:tc>
      </w:tr>
      <w:tr>
        <w:trPr>
          <w:cantSplit/>
        </w:trPr>
        <w:tc>
          <w:tcPr>
            <w:tcW w:type="dxa" w:w="2381"/>
            <w:vAlign w:val="top"/>
            <w:tcMar>
              <w:top w:w="70" w:type="dxa"/>
              <w:start w:w="90" w:type="dxa"/>
              <w:bottom w:w="70" w:type="dxa"/>
              <w:end w:w="90" w:type="dxa"/>
            </w:tcMar>
          </w:tcPr>
          <w:p>
            <w:pPr>
              <w:spacing w:after="20"/>
            </w:pPr>
            <w:r>
              <w:rPr>
                <w:sz w:val="16"/>
              </w:rPr>
              <w:t>Best fit</w:t>
            </w:r>
          </w:p>
        </w:tc>
        <w:tc>
          <w:tcPr>
            <w:tcW w:type="dxa" w:w="2211"/>
            <w:vAlign w:val="top"/>
            <w:tcMar>
              <w:top w:w="70" w:type="dxa"/>
              <w:start w:w="90" w:type="dxa"/>
              <w:bottom w:w="70" w:type="dxa"/>
              <w:end w:w="90" w:type="dxa"/>
            </w:tcMar>
          </w:tcPr>
          <w:p>
            <w:pPr>
              <w:spacing w:after="20"/>
            </w:pPr>
            <w:r>
              <w:rPr>
                <w:sz w:val="16"/>
              </w:rPr>
              <w:t>Universal deployment / bootstrap / recovery</w:t>
            </w:r>
          </w:p>
        </w:tc>
        <w:tc>
          <w:tcPr>
            <w:tcW w:type="dxa" w:w="2211"/>
            <w:vAlign w:val="top"/>
            <w:tcMar>
              <w:top w:w="70" w:type="dxa"/>
              <w:start w:w="90" w:type="dxa"/>
              <w:bottom w:w="70" w:type="dxa"/>
              <w:end w:w="90" w:type="dxa"/>
            </w:tcMar>
          </w:tcPr>
          <w:p>
            <w:pPr>
              <w:spacing w:after="20"/>
            </w:pPr>
            <w:r>
              <w:rPr>
                <w:sz w:val="16"/>
              </w:rPr>
              <w:t>Immediate updates during silence</w:t>
            </w:r>
          </w:p>
        </w:tc>
        <w:tc>
          <w:tcPr>
            <w:tcW w:type="dxa" w:w="2268"/>
            <w:vAlign w:val="top"/>
            <w:tcMar>
              <w:top w:w="70" w:type="dxa"/>
              <w:start w:w="90" w:type="dxa"/>
              <w:bottom w:w="70" w:type="dxa"/>
              <w:end w:w="90" w:type="dxa"/>
            </w:tcMar>
          </w:tcPr>
          <w:p>
            <w:pPr>
              <w:spacing w:after="20"/>
            </w:pPr>
            <w:r>
              <w:rPr>
                <w:sz w:val="16"/>
              </w:rPr>
              <w:t>Actively used services with existing app traffic</w:t>
            </w:r>
          </w:p>
        </w:tc>
      </w:tr>
    </w:tbl>
    <w:p>
      <w:pPr>
        <w:pStyle w:val="Heading2"/>
      </w:pPr>
      <w:r>
        <w:t>2.1 Related Work and Design Differentiation</w:t>
      </w:r>
    </w:p>
    <w:p>
      <w:pPr/>
      <w:r>
        <w:t>The transport ingredients behind this work are not new. Existing standards already support in-band alternative-service advertisement, richer DNS service binding, transport migration addresses, asynchronous DNS Push, and even in-band DNSSEC-validatable material for DANE/TLSA. The research question here is narrower: whether a surviving application path can safely carry independently verifiable, DNSSEC-authorized, incrementally versioned reconciliation of coherent DNS-derived service state, while preserving explicit consistency and recovery boundaries.</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1944"/>
            <w:vAlign w:val="center"/>
            <w:tcMar>
              <w:top w:w="90" w:type="dxa"/>
              <w:start w:w="100" w:type="dxa"/>
              <w:bottom w:w="90" w:type="dxa"/>
              <w:end w:w="100" w:type="dxa"/>
            </w:tcMar>
          </w:tcPr>
          <w:p>
            <w:pPr>
              <w:spacing w:after="0" w:before="0"/>
            </w:pPr>
            <w:r>
              <w:rPr>
                <w:b/>
                <w:sz w:val="15"/>
              </w:rPr>
              <w:t>Mechanism</w:t>
            </w:r>
          </w:p>
        </w:tc>
        <w:tc>
          <w:tcPr>
            <w:tcW w:type="dxa" w:w="3096"/>
            <w:vAlign w:val="center"/>
            <w:tcMar>
              <w:top w:w="90" w:type="dxa"/>
              <w:start w:w="100" w:type="dxa"/>
              <w:bottom w:w="90" w:type="dxa"/>
              <w:end w:w="100" w:type="dxa"/>
            </w:tcMar>
          </w:tcPr>
          <w:p>
            <w:pPr>
              <w:spacing w:after="0" w:before="0"/>
            </w:pPr>
            <w:r>
              <w:rPr>
                <w:b/>
                <w:sz w:val="15"/>
              </w:rPr>
              <w:t>Established capability</w:t>
            </w:r>
          </w:p>
        </w:tc>
        <w:tc>
          <w:tcPr>
            <w:tcW w:type="dxa" w:w="4464"/>
            <w:vAlign w:val="center"/>
            <w:tcMar>
              <w:top w:w="90" w:type="dxa"/>
              <w:start w:w="100" w:type="dxa"/>
              <w:bottom w:w="90" w:type="dxa"/>
              <w:end w:w="100" w:type="dxa"/>
            </w:tcMar>
          </w:tcPr>
          <w:p>
            <w:pPr>
              <w:spacing w:after="0" w:before="0"/>
            </w:pPr>
            <w:r>
              <w:rPr>
                <w:b/>
                <w:sz w:val="15"/>
              </w:rPr>
              <w:t>Boundary relative to this work</w:t>
            </w:r>
          </w:p>
        </w:tc>
      </w:tr>
      <w:tr>
        <w:trPr>
          <w:cantSplit/>
        </w:trPr>
        <w:tc>
          <w:tcPr>
            <w:tcW w:type="dxa" w:w="1944"/>
            <w:vAlign w:val="center"/>
            <w:tcMar>
              <w:top w:w="90" w:type="dxa"/>
              <w:start w:w="100" w:type="dxa"/>
              <w:bottom w:w="90" w:type="dxa"/>
              <w:end w:w="100" w:type="dxa"/>
            </w:tcMar>
          </w:tcPr>
          <w:p>
            <w:pPr>
              <w:spacing w:after="0" w:before="0"/>
            </w:pPr>
            <w:r>
              <w:rPr>
                <w:sz w:val="15"/>
              </w:rPr>
              <w:t>HTTP Alt-Svc (RFC 7838)</w:t>
            </w:r>
          </w:p>
        </w:tc>
        <w:tc>
          <w:tcPr>
            <w:tcW w:type="dxa" w:w="3096"/>
            <w:vAlign w:val="center"/>
            <w:tcMar>
              <w:top w:w="90" w:type="dxa"/>
              <w:start w:w="100" w:type="dxa"/>
              <w:bottom w:w="90" w:type="dxa"/>
              <w:end w:w="100" w:type="dxa"/>
            </w:tcMar>
          </w:tcPr>
          <w:p>
            <w:pPr>
              <w:spacing w:after="0" w:before="0"/>
            </w:pPr>
            <w:r>
              <w:rPr>
                <w:sz w:val="15"/>
              </w:rPr>
              <w:t>An origin can advertise an alternative ALPN/host/port in-band, with an independent freshness lifetime (ma), and clients may use it for new connections.</w:t>
            </w:r>
          </w:p>
        </w:tc>
        <w:tc>
          <w:tcPr>
            <w:tcW w:type="dxa" w:w="4464"/>
            <w:vAlign w:val="center"/>
            <w:tcMar>
              <w:top w:w="90" w:type="dxa"/>
              <w:start w:w="100" w:type="dxa"/>
              <w:bottom w:w="90" w:type="dxa"/>
              <w:end w:w="100" w:type="dxa"/>
            </w:tcMar>
          </w:tcPr>
          <w:p>
            <w:pPr>
              <w:spacing w:after="0" w:before="0"/>
            </w:pPr>
            <w:r>
              <w:rPr>
                <w:sz w:val="15"/>
              </w:rPr>
              <w:t>Direct prior art for in-band endpoint advertisement. It is origin-level alternative-service routing authenticated through the HTTP/TLS authority model; it does not define independently signed DNS-state objects, multi-RR scope reconciliation, generation/digest ancestry, fork/gap handling, or DNSSEC root reset.</w:t>
            </w:r>
          </w:p>
        </w:tc>
      </w:tr>
      <w:tr>
        <w:trPr>
          <w:cantSplit/>
        </w:trPr>
        <w:tc>
          <w:tcPr>
            <w:tcW w:type="dxa" w:w="1944"/>
            <w:vAlign w:val="center"/>
            <w:tcMar>
              <w:top w:w="90" w:type="dxa"/>
              <w:start w:w="100" w:type="dxa"/>
              <w:bottom w:w="90" w:type="dxa"/>
              <w:end w:w="100" w:type="dxa"/>
            </w:tcMar>
          </w:tcPr>
          <w:p>
            <w:pPr>
              <w:spacing w:after="0" w:before="0"/>
            </w:pPr>
            <w:r>
              <w:rPr>
                <w:sz w:val="15"/>
              </w:rPr>
              <w:t>SVCB / HTTPS (RFC 9460)</w:t>
            </w:r>
          </w:p>
        </w:tc>
        <w:tc>
          <w:tcPr>
            <w:tcW w:type="dxa" w:w="3096"/>
            <w:vAlign w:val="center"/>
            <w:tcMar>
              <w:top w:w="90" w:type="dxa"/>
              <w:start w:w="100" w:type="dxa"/>
              <w:bottom w:w="90" w:type="dxa"/>
              <w:end w:w="100" w:type="dxa"/>
            </w:tcMar>
          </w:tcPr>
          <w:p>
            <w:pPr>
              <w:spacing w:after="0" w:before="0"/>
            </w:pPr>
            <w:r>
              <w:rPr>
                <w:sz w:val="15"/>
              </w:rPr>
              <w:t>DNS can publish multiple authoritative alternative endpoints plus connection parameters before connection establishment.</w:t>
            </w:r>
          </w:p>
        </w:tc>
        <w:tc>
          <w:tcPr>
            <w:tcW w:type="dxa" w:w="4464"/>
            <w:vAlign w:val="center"/>
            <w:tcMar>
              <w:top w:w="90" w:type="dxa"/>
              <w:start w:w="100" w:type="dxa"/>
              <w:bottom w:w="90" w:type="dxa"/>
              <w:end w:w="100" w:type="dxa"/>
            </w:tcMar>
          </w:tcPr>
          <w:p>
            <w:pPr>
              <w:spacing w:after="0" w:before="0"/>
            </w:pPr>
            <w:r>
              <w:rPr>
                <w:sz w:val="15"/>
              </w:rPr>
              <w:t>Highly relevant discovery baseline. State is learned through DNS resolution/caching; it is not a post-admission, application-carried state-reconciliation channel. This PoC uses SVCB/HTTPS for DNSSEC-authenticated capability/bootstrap rather than replacing it.</w:t>
            </w:r>
          </w:p>
        </w:tc>
      </w:tr>
      <w:tr>
        <w:trPr>
          <w:cantSplit/>
        </w:trPr>
        <w:tc>
          <w:tcPr>
            <w:tcW w:type="dxa" w:w="1944"/>
            <w:vAlign w:val="center"/>
            <w:tcMar>
              <w:top w:w="90" w:type="dxa"/>
              <w:start w:w="100" w:type="dxa"/>
              <w:bottom w:w="90" w:type="dxa"/>
              <w:end w:w="100" w:type="dxa"/>
            </w:tcMar>
          </w:tcPr>
          <w:p>
            <w:pPr>
              <w:spacing w:after="0" w:before="0"/>
            </w:pPr>
            <w:r>
              <w:rPr>
                <w:sz w:val="15"/>
              </w:rPr>
              <w:t>QUIC preferred_address (RFC 9000)</w:t>
            </w:r>
          </w:p>
        </w:tc>
        <w:tc>
          <w:tcPr>
            <w:tcW w:type="dxa" w:w="3096"/>
            <w:vAlign w:val="center"/>
            <w:tcMar>
              <w:top w:w="90" w:type="dxa"/>
              <w:start w:w="100" w:type="dxa"/>
              <w:bottom w:w="90" w:type="dxa"/>
              <w:end w:w="100" w:type="dxa"/>
            </w:tcMar>
          </w:tcPr>
          <w:p>
            <w:pPr>
              <w:spacing w:after="0" w:before="0"/>
            </w:pPr>
            <w:r>
              <w:rPr>
                <w:sz w:val="15"/>
              </w:rPr>
              <w:t>A QUIC server can provide a preferred IP address/port for migration of the current connection.</w:t>
            </w:r>
          </w:p>
        </w:tc>
        <w:tc>
          <w:tcPr>
            <w:tcW w:type="dxa" w:w="4464"/>
            <w:vAlign w:val="center"/>
            <w:tcMar>
              <w:top w:w="90" w:type="dxa"/>
              <w:start w:w="100" w:type="dxa"/>
              <w:bottom w:w="90" w:type="dxa"/>
              <w:end w:w="100" w:type="dxa"/>
            </w:tcMar>
          </w:tcPr>
          <w:p>
            <w:pPr>
              <w:spacing w:after="0" w:before="0"/>
            </w:pPr>
            <w:r>
              <w:rPr>
                <w:sz w:val="15"/>
              </w:rPr>
              <w:t>Transport-layer cousin, but the advertised addresses are valid only for the connection in which they are provided and MUST NOT be reused for other connections. It does not reconcile a DNS-derived service scope.</w:t>
            </w:r>
          </w:p>
        </w:tc>
      </w:tr>
      <w:tr>
        <w:trPr>
          <w:cantSplit/>
        </w:trPr>
        <w:tc>
          <w:tcPr>
            <w:tcW w:type="dxa" w:w="1944"/>
            <w:vAlign w:val="center"/>
            <w:tcMar>
              <w:top w:w="90" w:type="dxa"/>
              <w:start w:w="100" w:type="dxa"/>
              <w:bottom w:w="90" w:type="dxa"/>
              <w:end w:w="100" w:type="dxa"/>
            </w:tcMar>
          </w:tcPr>
          <w:p>
            <w:pPr>
              <w:spacing w:after="0" w:before="0"/>
            </w:pPr>
            <w:r>
              <w:rPr>
                <w:sz w:val="15"/>
              </w:rPr>
              <w:t>DNS Push (RFC 8765)</w:t>
            </w:r>
          </w:p>
        </w:tc>
        <w:tc>
          <w:tcPr>
            <w:tcW w:type="dxa" w:w="3096"/>
            <w:vAlign w:val="center"/>
            <w:tcMar>
              <w:top w:w="90" w:type="dxa"/>
              <w:start w:w="100" w:type="dxa"/>
              <w:bottom w:w="90" w:type="dxa"/>
              <w:end w:w="100" w:type="dxa"/>
            </w:tcMar>
          </w:tcPr>
          <w:p>
            <w:pPr>
              <w:spacing w:after="0" w:before="0"/>
            </w:pPr>
            <w:r>
              <w:rPr>
                <w:sz w:val="15"/>
              </w:rPr>
              <w:t>Asynchronous DNS changes can be delivered over a stateful DSO subscription, including while the application is silent.</w:t>
            </w:r>
          </w:p>
        </w:tc>
        <w:tc>
          <w:tcPr>
            <w:tcW w:type="dxa" w:w="4464"/>
            <w:vAlign w:val="center"/>
            <w:tcMar>
              <w:top w:w="90" w:type="dxa"/>
              <w:start w:w="100" w:type="dxa"/>
              <w:bottom w:w="90" w:type="dxa"/>
              <w:end w:w="100" w:type="dxa"/>
            </w:tcMar>
          </w:tcPr>
          <w:p>
            <w:pPr>
              <w:spacing w:after="0" w:before="0"/>
            </w:pPr>
            <w:r>
              <w:rPr>
                <w:sz w:val="15"/>
              </w:rPr>
              <w:t>Complementary rather than obsolete. Push is stronger for immediate delivery during application silence; Opportunistic Freshness targets active services without a separate subscription/session or Freshness-only idle traffic.</w:t>
            </w:r>
          </w:p>
        </w:tc>
      </w:tr>
      <w:tr>
        <w:trPr>
          <w:cantSplit/>
        </w:trPr>
        <w:tc>
          <w:tcPr>
            <w:tcW w:type="dxa" w:w="1944"/>
            <w:vAlign w:val="center"/>
            <w:tcMar>
              <w:top w:w="90" w:type="dxa"/>
              <w:start w:w="100" w:type="dxa"/>
              <w:bottom w:w="90" w:type="dxa"/>
              <w:end w:w="100" w:type="dxa"/>
            </w:tcMar>
          </w:tcPr>
          <w:p>
            <w:pPr>
              <w:spacing w:after="0" w:before="0"/>
            </w:pPr>
            <w:r>
              <w:rPr>
                <w:sz w:val="15"/>
              </w:rPr>
              <w:t>Short DNS TTLs</w:t>
            </w:r>
          </w:p>
        </w:tc>
        <w:tc>
          <w:tcPr>
            <w:tcW w:type="dxa" w:w="3096"/>
            <w:vAlign w:val="center"/>
            <w:tcMar>
              <w:top w:w="90" w:type="dxa"/>
              <w:start w:w="100" w:type="dxa"/>
              <w:bottom w:w="90" w:type="dxa"/>
              <w:end w:w="100" w:type="dxa"/>
            </w:tcMar>
          </w:tcPr>
          <w:p>
            <w:pPr>
              <w:spacing w:after="0" w:before="0"/>
            </w:pPr>
            <w:r>
              <w:rPr>
                <w:sz w:val="15"/>
              </w:rPr>
              <w:t>Bound stale-cache duration by forcing more frequent conventional DNS revalidation.</w:t>
            </w:r>
          </w:p>
        </w:tc>
        <w:tc>
          <w:tcPr>
            <w:tcW w:type="dxa" w:w="4464"/>
            <w:vAlign w:val="center"/>
            <w:tcMar>
              <w:top w:w="90" w:type="dxa"/>
              <w:start w:w="100" w:type="dxa"/>
              <w:bottom w:w="90" w:type="dxa"/>
              <w:end w:w="100" w:type="dxa"/>
            </w:tcMar>
          </w:tcPr>
          <w:p>
            <w:pPr>
              <w:spacing w:after="0" w:before="0"/>
            </w:pPr>
            <w:r>
              <w:rPr>
                <w:sz w:val="15"/>
              </w:rPr>
              <w:t>Essential baseline, not a free substitute. It remains timer-driven and trades shorter stale windows for more frequent DNS work. Production evaluation must compare convergence, query load, prefetch behavior, failure attempts, battery/CPU cost, and implementation complexity.</w:t>
            </w:r>
          </w:p>
        </w:tc>
      </w:tr>
      <w:tr>
        <w:trPr>
          <w:cantSplit/>
        </w:trPr>
        <w:tc>
          <w:tcPr>
            <w:tcW w:type="dxa" w:w="1944"/>
            <w:vAlign w:val="center"/>
            <w:tcMar>
              <w:top w:w="90" w:type="dxa"/>
              <w:start w:w="100" w:type="dxa"/>
              <w:bottom w:w="90" w:type="dxa"/>
              <w:end w:w="100" w:type="dxa"/>
            </w:tcMar>
          </w:tcPr>
          <w:p>
            <w:pPr>
              <w:spacing w:after="0" w:before="0"/>
            </w:pPr>
            <w:r>
              <w:rPr>
                <w:sz w:val="15"/>
              </w:rPr>
              <w:t>TLS DNSSEC Chain (RFC 9102)</w:t>
            </w:r>
          </w:p>
        </w:tc>
        <w:tc>
          <w:tcPr>
            <w:tcW w:type="dxa" w:w="3096"/>
            <w:vAlign w:val="center"/>
            <w:tcMar>
              <w:top w:w="90" w:type="dxa"/>
              <w:start w:w="100" w:type="dxa"/>
              <w:bottom w:w="90" w:type="dxa"/>
              <w:end w:w="100" w:type="dxa"/>
            </w:tcMar>
          </w:tcPr>
          <w:p>
            <w:pPr>
              <w:spacing w:after="0" w:before="0"/>
            </w:pPr>
            <w:r>
              <w:rPr>
                <w:sz w:val="15"/>
              </w:rPr>
              <w:t>Experimental TLS extension carrying the DNSSEC authentication chain needed for DANE/TLSA in-band during the handshake; can include authenticated denial of existence and avoid separate out-of-band DNS lookups for that authentication data.</w:t>
            </w:r>
          </w:p>
        </w:tc>
        <w:tc>
          <w:tcPr>
            <w:tcW w:type="dxa" w:w="4464"/>
            <w:vAlign w:val="center"/>
            <w:tcMar>
              <w:top w:w="90" w:type="dxa"/>
              <w:start w:w="100" w:type="dxa"/>
              <w:bottom w:w="90" w:type="dxa"/>
              <w:end w:w="100" w:type="dxa"/>
            </w:tcMar>
          </w:tcPr>
          <w:p>
            <w:pPr>
              <w:spacing w:after="0" w:before="0"/>
            </w:pPr>
            <w:r>
              <w:rPr>
                <w:sz w:val="15"/>
              </w:rPr>
              <w:t>Close precedent for self-validating DNSSEC material on the application security path. Its scope is handshake-time DANE/TLSA authentication and cached/rebuilt DNSSEC chains; it does not define post-admission incremental connectivity-state reconciliation, generation/digest ancestry, scope-wide endpoint transitions, bounded Freshness leases, or fork/gap recovery.</w:t>
            </w:r>
          </w:p>
        </w:tc>
      </w:tr>
      <w:tr>
        <w:trPr>
          <w:cantSplit/>
        </w:trPr>
        <w:tc>
          <w:tcPr>
            <w:tcW w:type="dxa" w:w="1944"/>
            <w:vAlign w:val="center"/>
            <w:tcMar>
              <w:top w:w="90" w:type="dxa"/>
              <w:start w:w="100" w:type="dxa"/>
              <w:bottom w:w="90" w:type="dxa"/>
              <w:end w:w="100" w:type="dxa"/>
            </w:tcMar>
          </w:tcPr>
          <w:p>
            <w:pPr>
              <w:spacing w:after="0" w:before="0"/>
            </w:pPr>
            <w:r>
              <w:rPr>
                <w:sz w:val="15"/>
              </w:rPr>
              <w:t>Opportunistic Freshness v0.1</w:t>
            </w:r>
          </w:p>
        </w:tc>
        <w:tc>
          <w:tcPr>
            <w:tcW w:type="dxa" w:w="3096"/>
            <w:vAlign w:val="center"/>
            <w:tcMar>
              <w:top w:w="90" w:type="dxa"/>
              <w:start w:w="100" w:type="dxa"/>
              <w:bottom w:w="90" w:type="dxa"/>
              <w:end w:w="100" w:type="dxa"/>
            </w:tcMar>
          </w:tcPr>
          <w:p>
            <w:pPr>
              <w:spacing w:after="0" w:before="0"/>
            </w:pPr>
            <w:r>
              <w:rPr>
                <w:sz w:val="15"/>
              </w:rPr>
              <w:t>Carries signed Snapshot/Checkpoint/Delta state on natural application traffic and commits verified state into the client resolver/cache.</w:t>
            </w:r>
          </w:p>
        </w:tc>
        <w:tc>
          <w:tcPr>
            <w:tcW w:type="dxa" w:w="4464"/>
            <w:vAlign w:val="center"/>
            <w:tcMar>
              <w:top w:w="90" w:type="dxa"/>
              <w:start w:w="100" w:type="dxa"/>
              <w:bottom w:w="90" w:type="dxa"/>
              <w:end w:w="100" w:type="dxa"/>
            </w:tcMar>
          </w:tcPr>
          <w:p>
            <w:pPr>
              <w:spacing w:after="0" w:before="0"/>
            </w:pPr>
            <w:r>
              <w:rPr>
                <w:sz w:val="15"/>
              </w:rPr>
              <w:t>Target contribution: independently verifiable DNS-derived state reconciliation with DNSSEC-rooted trust, bounded leases/state/history, exact ancestry, fork/gap detection, scope-wide repair, emergency reset, and DNS fallback.</w:t>
            </w:r>
          </w:p>
        </w:tc>
      </w:tr>
    </w:tbl>
    <w:p>
      <w:pPr>
        <w:spacing w:before="100"/>
      </w:pPr>
      <w:r>
        <w:t>Counterargument worth testing: the expired individual Internet-Draft "HTTP Alternative Services, Plan B" (draft-thomson-httpbis-alt-svcb-01, 2023) argued that RFC 7838 created problematic dual sources/caching for service reachability and proposed using in-band advertisement only as a prompt to consult DNS. The draft is expired, archived, and explicitly has no IETF endorsement or formal standards standing. Its deployment critique is nevertheless a serious falsification target for this work: the signed generation/digest state model must justify its extra complexity by avoiding enough stale-state, recovery, or transaction cost in real deployments.</w:t>
      </w:r>
    </w:p>
    <w:p>
      <w:pPr>
        <w:pStyle w:val="Heading2"/>
      </w:pPr>
      <w:r>
        <w:t>2.2 Why Not Simply Use Short TTLs?</w:t>
      </w:r>
    </w:p>
    <w:p>
      <w:pPr/>
      <w:r>
        <w:t>Short TTLs are the simplest conventional response to stale endpoint mappings and therefore remain a first-class baseline. They reduce cache-age windows by causing more frequent conventional DNS revalidation across the population during the low-TTL period, whether or not a particular client has already learned a change through an active service path. Opportunistic Freshness explores a different trade: active admitted clients reconcile change-driven state on traffic that already exists, while inactive clients generate no Freshness-only traffic. The PoC demonstrates the mechanism and zero-idle-traffic property, but it does not yet quantify population-wide query-load savings. Production evaluation must compare convergence, DNS query volume, resolver prefetch behavior, stale/failure attempts, mobile cost, and implementation complexity.</w:t>
      </w:r>
    </w:p>
    <w:p>
      <w:pPr>
        <w:spacing w:after="0"/>
      </w:pPr>
    </w:p>
    <w:p>
      <w:pPr>
        <w:pStyle w:val="Heading1"/>
      </w:pPr>
      <w:r>
        <w:t>3. Architecture and State Model</w:t>
      </w:r>
    </w:p>
    <w:p>
      <w:r>
        <w:drawing>
          <wp:inline xmlns:a="http://schemas.openxmlformats.org/drawingml/2006/main" xmlns:pic="http://schemas.openxmlformats.org/drawingml/2006/picture">
            <wp:extent cx="5832000" cy="2290506"/>
            <wp:docPr id="1" name="Picture 1"/>
            <wp:cNvGraphicFramePr>
              <a:graphicFrameLocks noChangeAspect="1"/>
            </wp:cNvGraphicFramePr>
            <a:graphic>
              <a:graphicData uri="http://schemas.openxmlformats.org/drawingml/2006/picture">
                <pic:pic>
                  <pic:nvPicPr>
                    <pic:cNvPr id="0" name="dnsfresh_architecture.png"/>
                    <pic:cNvPicPr/>
                  </pic:nvPicPr>
                  <pic:blipFill>
                    <a:blip r:embed="rId11"/>
                    <a:stretch>
                      <a:fillRect/>
                    </a:stretch>
                  </pic:blipFill>
                  <pic:spPr>
                    <a:xfrm>
                      <a:off x="0" y="0"/>
                      <a:ext cx="5832000" cy="2290506"/>
                    </a:xfrm>
                    <a:prstGeom prst="rect"/>
                  </pic:spPr>
                </pic:pic>
              </a:graphicData>
            </a:graphic>
          </wp:inline>
        </w:drawing>
      </w:r>
    </w:p>
    <w:p>
      <w:pPr>
        <w:jc w:val="center"/>
      </w:pPr>
      <w:r>
        <w:rPr>
          <w:i/>
          <w:sz w:val="16"/>
        </w:rPr>
        <w:t>Figure 1. Control and data-path split. Freshness reuses natural application traffic; DNS remains the safety boundary for bootstrap and recovery.</w:t>
      </w:r>
    </w:p>
    <w:p>
      <w:r>
        <w:rPr>
          <w:b/>
        </w:rPr>
        <w:t xml:space="preserve">State identity: </w:t>
      </w:r>
      <w:r>
        <w:t>root_epoch + service_id + scope_id + generation + state_digest.</w:t>
      </w:r>
    </w:p>
    <w:p>
      <w:r>
        <w:rPr>
          <w:b/>
        </w:rPr>
        <w:t xml:space="preserve">Lifecycle: </w:t>
      </w:r>
      <w:r>
        <w:t>INACTIVE -&gt; DNS_BOOTSTRAP -&gt; ACTIVE_UNASSURED -&gt; ACTIVE_AUTHORIZED -&gt; RECOVERY_REQUIRED, with transitions driven by trust, admission, lease and continuity conditions.</w:t>
      </w:r>
    </w:p>
    <w:p>
      <w:r>
        <w:rPr>
          <w:b/>
        </w:rPr>
        <w:t xml:space="preserve">Active-interest rule: </w:t>
      </w:r>
      <w:r>
        <w:t>While interest is continuously active, an unbridgeable forward generation jump is a recovery condition. The receiver must not silently skip a missing bridge.</w:t>
      </w:r>
    </w:p>
    <w:p>
      <w:r>
        <w:rPr>
          <w:b/>
        </w:rPr>
        <w:t xml:space="preserve">Eviction rule: </w:t>
      </w:r>
      <w:r>
        <w:t>Eviction ends interest and discards the cursor/scope tracking. Later reuse is a new admission at the current head; missing intermediate generations are not reconstructed unless a separate audit/history function requires them.</w:t>
      </w:r>
    </w:p>
    <w:p>
      <w:r>
        <w:rPr>
          <w:b/>
        </w:rPr>
        <w:t xml:space="preserve">Atomicity rule: </w:t>
      </w:r>
      <w:r>
        <w:t>No state mutation is committed until object structure, bounds, signature, ancestry/digest and authorization checks pass. Partial delivery or validation failure leaves state unchanged.</w:t>
      </w:r>
    </w:p>
    <w:p>
      <w:r>
        <w:rPr>
          <w:b/>
        </w:rPr>
        <w:t xml:space="preserve">Trust split: </w:t>
      </w:r>
      <w:r>
        <w:t>DNSSEC controls the root trust namespace and root_epoch. Operational Freshness keys can rotate below it; root_epoch can reset compromised lower counters without being blocked by attacker-inflated generations.</w:t>
      </w:r>
    </w:p>
    <w:p>
      <w:pPr>
        <w:pStyle w:val="Heading1"/>
      </w:pPr>
      <w:r>
        <w:t>4. Wire Profile and Security Boundaries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608"/>
            <w:shd w:fill="D9E2F3"/>
            <w:vAlign w:val="center"/>
            <w:tcMar>
              <w:top w:w="70" w:type="dxa"/>
              <w:start w:w="90" w:type="dxa"/>
              <w:bottom w:w="70" w:type="dxa"/>
              <w:end w:w="90" w:type="dxa"/>
            </w:tcMar>
          </w:tcPr>
          <w:p>
            <w:r>
              <w:rPr>
                <w:b/>
                <w:sz w:val="17"/>
              </w:rPr>
              <w:t>Element</w:t>
            </w:r>
          </w:p>
        </w:tc>
        <w:tc>
          <w:tcPr>
            <w:tcW w:type="dxa" w:w="6463"/>
            <w:shd w:fill="D9E2F3"/>
            <w:vAlign w:val="center"/>
            <w:tcMar>
              <w:top w:w="70" w:type="dxa"/>
              <w:start w:w="90" w:type="dxa"/>
              <w:bottom w:w="70" w:type="dxa"/>
              <w:end w:w="90" w:type="dxa"/>
            </w:tcMar>
          </w:tcPr>
          <w:p>
            <w:r>
              <w:rPr>
                <w:b/>
                <w:sz w:val="17"/>
              </w:rPr>
              <w:t>v0.1 experimental profile</w:t>
            </w:r>
          </w:p>
        </w:tc>
      </w:tr>
      <w:tr>
        <w:trPr>
          <w:cantSplit/>
        </w:trPr>
        <w:tc>
          <w:tcPr>
            <w:tcW w:type="dxa" w:w="2608"/>
            <w:vAlign w:val="top"/>
            <w:tcMar>
              <w:top w:w="70" w:type="dxa"/>
              <w:start w:w="90" w:type="dxa"/>
              <w:bottom w:w="70" w:type="dxa"/>
              <w:end w:w="90" w:type="dxa"/>
            </w:tcMar>
          </w:tcPr>
          <w:p>
            <w:pPr>
              <w:spacing w:after="20"/>
            </w:pPr>
            <w:r>
              <w:rPr>
                <w:sz w:val="17"/>
              </w:rPr>
              <w:t>Discovery</w:t>
            </w:r>
          </w:p>
        </w:tc>
        <w:tc>
          <w:tcPr>
            <w:tcW w:type="dxa" w:w="6463"/>
            <w:vAlign w:val="top"/>
            <w:tcMar>
              <w:top w:w="70" w:type="dxa"/>
              <w:start w:w="90" w:type="dxa"/>
              <w:bottom w:w="70" w:type="dxa"/>
              <w:end w:w="90" w:type="dxa"/>
            </w:tcMar>
          </w:tcPr>
          <w:p>
            <w:pPr>
              <w:spacing w:after="20"/>
            </w:pPr>
            <w:r>
              <w:rPr>
                <w:sz w:val="17"/>
              </w:rPr>
              <w:t>DNSSEC-authenticated HTTPS/SVCB capability; private-use SvcParamKey 65400 in the lab</w:t>
            </w:r>
          </w:p>
        </w:tc>
      </w:tr>
      <w:tr>
        <w:trPr>
          <w:cantSplit/>
        </w:trPr>
        <w:tc>
          <w:tcPr>
            <w:tcW w:type="dxa" w:w="2608"/>
            <w:vAlign w:val="top"/>
            <w:tcMar>
              <w:top w:w="70" w:type="dxa"/>
              <w:start w:w="90" w:type="dxa"/>
              <w:bottom w:w="70" w:type="dxa"/>
              <w:end w:w="90" w:type="dxa"/>
            </w:tcMar>
          </w:tcPr>
          <w:p>
            <w:pPr>
              <w:spacing w:after="20"/>
            </w:pPr>
            <w:r>
              <w:rPr>
                <w:sz w:val="17"/>
              </w:rPr>
              <w:t>Identifiers</w:t>
            </w:r>
          </w:p>
        </w:tc>
        <w:tc>
          <w:tcPr>
            <w:tcW w:type="dxa" w:w="6463"/>
            <w:vAlign w:val="top"/>
            <w:tcMar>
              <w:top w:w="70" w:type="dxa"/>
              <w:start w:w="90" w:type="dxa"/>
              <w:bottom w:w="70" w:type="dxa"/>
              <w:end w:w="90" w:type="dxa"/>
            </w:tcMar>
          </w:tcPr>
          <w:p>
            <w:pPr>
              <w:spacing w:after="20"/>
            </w:pPr>
            <w:r>
              <w:rPr>
                <w:sz w:val="17"/>
              </w:rPr>
              <w:t>128-bit opaque service_id; 128-bit Authority-opaque scope_id; opaque DNSSEC-authenticated admission_context</w:t>
            </w:r>
          </w:p>
        </w:tc>
      </w:tr>
      <w:tr>
        <w:trPr>
          <w:cantSplit/>
        </w:trPr>
        <w:tc>
          <w:tcPr>
            <w:tcW w:type="dxa" w:w="2608"/>
            <w:vAlign w:val="top"/>
            <w:tcMar>
              <w:top w:w="70" w:type="dxa"/>
              <w:start w:w="90" w:type="dxa"/>
              <w:bottom w:w="70" w:type="dxa"/>
              <w:end w:w="90" w:type="dxa"/>
            </w:tcMar>
          </w:tcPr>
          <w:p>
            <w:pPr>
              <w:spacing w:after="20"/>
            </w:pPr>
            <w:r>
              <w:rPr>
                <w:sz w:val="17"/>
              </w:rPr>
              <w:t>State objects</w:t>
            </w:r>
          </w:p>
        </w:tc>
        <w:tc>
          <w:tcPr>
            <w:tcW w:type="dxa" w:w="6463"/>
            <w:vAlign w:val="top"/>
            <w:tcMar>
              <w:top w:w="70" w:type="dxa"/>
              <w:start w:w="90" w:type="dxa"/>
              <w:bottom w:w="70" w:type="dxa"/>
              <w:end w:w="90" w:type="dxa"/>
            </w:tcMar>
          </w:tcPr>
          <w:p>
            <w:pPr>
              <w:spacing w:after="20"/>
            </w:pPr>
            <w:r>
              <w:rPr>
                <w:sz w:val="17"/>
              </w:rPr>
              <w:t>Snapshot, Checkpoint, Delta, ResyncRequired</w:t>
            </w:r>
          </w:p>
        </w:tc>
      </w:tr>
      <w:tr>
        <w:trPr>
          <w:cantSplit/>
        </w:trPr>
        <w:tc>
          <w:tcPr>
            <w:tcW w:type="dxa" w:w="2608"/>
            <w:vAlign w:val="top"/>
            <w:tcMar>
              <w:top w:w="70" w:type="dxa"/>
              <w:start w:w="90" w:type="dxa"/>
              <w:bottom w:w="70" w:type="dxa"/>
              <w:end w:w="90" w:type="dxa"/>
            </w:tcMar>
          </w:tcPr>
          <w:p>
            <w:pPr>
              <w:spacing w:after="20"/>
            </w:pPr>
            <w:r>
              <w:rPr>
                <w:sz w:val="17"/>
              </w:rPr>
              <w:t>Serialization</w:t>
            </w:r>
          </w:p>
        </w:tc>
        <w:tc>
          <w:tcPr>
            <w:tcW w:type="dxa" w:w="6463"/>
            <w:vAlign w:val="top"/>
            <w:tcMar>
              <w:top w:w="70" w:type="dxa"/>
              <w:start w:w="90" w:type="dxa"/>
              <w:bottom w:w="70" w:type="dxa"/>
              <w:end w:w="90" w:type="dxa"/>
            </w:tcMar>
          </w:tcPr>
          <w:p>
            <w:pPr>
              <w:spacing w:after="20"/>
            </w:pPr>
            <w:r>
              <w:rPr>
                <w:sz w:val="17"/>
              </w:rPr>
              <w:t>Deterministic CBOR</w:t>
            </w:r>
          </w:p>
        </w:tc>
      </w:tr>
      <w:tr>
        <w:trPr>
          <w:cantSplit/>
        </w:trPr>
        <w:tc>
          <w:tcPr>
            <w:tcW w:type="dxa" w:w="2608"/>
            <w:vAlign w:val="top"/>
            <w:tcMar>
              <w:top w:w="70" w:type="dxa"/>
              <w:start w:w="90" w:type="dxa"/>
              <w:bottom w:w="70" w:type="dxa"/>
              <w:end w:w="90" w:type="dxa"/>
            </w:tcMar>
          </w:tcPr>
          <w:p>
            <w:pPr>
              <w:spacing w:after="20"/>
            </w:pPr>
            <w:r>
              <w:rPr>
                <w:sz w:val="17"/>
              </w:rPr>
              <w:t>Signature container</w:t>
            </w:r>
          </w:p>
        </w:tc>
        <w:tc>
          <w:tcPr>
            <w:tcW w:type="dxa" w:w="6463"/>
            <w:vAlign w:val="top"/>
            <w:tcMar>
              <w:top w:w="70" w:type="dxa"/>
              <w:start w:w="90" w:type="dxa"/>
              <w:bottom w:w="70" w:type="dxa"/>
              <w:end w:w="90" w:type="dxa"/>
            </w:tcMar>
          </w:tcPr>
          <w:p>
            <w:pPr>
              <w:spacing w:after="20"/>
            </w:pPr>
            <w:r>
              <w:rPr>
                <w:sz w:val="17"/>
              </w:rPr>
              <w:t>COSE_Sign1, CBOR Tag 18</w:t>
            </w:r>
          </w:p>
        </w:tc>
      </w:tr>
      <w:tr>
        <w:trPr>
          <w:cantSplit/>
        </w:trPr>
        <w:tc>
          <w:tcPr>
            <w:tcW w:type="dxa" w:w="2608"/>
            <w:vAlign w:val="top"/>
            <w:tcMar>
              <w:top w:w="70" w:type="dxa"/>
              <w:start w:w="90" w:type="dxa"/>
              <w:bottom w:w="70" w:type="dxa"/>
              <w:end w:w="90" w:type="dxa"/>
            </w:tcMar>
          </w:tcPr>
          <w:p>
            <w:pPr>
              <w:spacing w:after="20"/>
            </w:pPr>
            <w:r>
              <w:rPr>
                <w:sz w:val="17"/>
              </w:rPr>
              <w:t>Signature algorithm</w:t>
            </w:r>
          </w:p>
        </w:tc>
        <w:tc>
          <w:tcPr>
            <w:tcW w:type="dxa" w:w="6463"/>
            <w:vAlign w:val="top"/>
            <w:tcMar>
              <w:top w:w="70" w:type="dxa"/>
              <w:start w:w="90" w:type="dxa"/>
              <w:bottom w:w="70" w:type="dxa"/>
              <w:end w:w="90" w:type="dxa"/>
            </w:tcMar>
          </w:tcPr>
          <w:p>
            <w:pPr>
              <w:spacing w:after="20"/>
            </w:pPr>
            <w:r>
              <w:rPr>
                <w:sz w:val="17"/>
              </w:rPr>
              <w:t>Fully specified Ed25519, COSE alg -19</w:t>
            </w:r>
          </w:p>
        </w:tc>
      </w:tr>
      <w:tr>
        <w:trPr>
          <w:cantSplit/>
        </w:trPr>
        <w:tc>
          <w:tcPr>
            <w:tcW w:type="dxa" w:w="2608"/>
            <w:vAlign w:val="top"/>
            <w:tcMar>
              <w:top w:w="70" w:type="dxa"/>
              <w:start w:w="90" w:type="dxa"/>
              <w:bottom w:w="70" w:type="dxa"/>
              <w:end w:w="90" w:type="dxa"/>
            </w:tcMar>
          </w:tcPr>
          <w:p>
            <w:pPr>
              <w:spacing w:after="20"/>
            </w:pPr>
            <w:r>
              <w:rPr>
                <w:sz w:val="17"/>
              </w:rPr>
              <w:t>HTTP carrier</w:t>
            </w:r>
          </w:p>
        </w:tc>
        <w:tc>
          <w:tcPr>
            <w:tcW w:type="dxa" w:w="6463"/>
            <w:vAlign w:val="top"/>
            <w:tcMar>
              <w:top w:w="70" w:type="dxa"/>
              <w:start w:w="90" w:type="dxa"/>
              <w:bottom w:w="70" w:type="dxa"/>
              <w:end w:w="90" w:type="dxa"/>
            </w:tcMar>
          </w:tcPr>
          <w:p>
            <w:pPr>
              <w:spacing w:after="20"/>
            </w:pPr>
            <w:r>
              <w:rPr>
                <w:sz w:val="17"/>
              </w:rPr>
              <w:t>Structured Field Byte Sequence</w:t>
            </w:r>
          </w:p>
        </w:tc>
      </w:tr>
      <w:tr>
        <w:trPr>
          <w:cantSplit/>
        </w:trPr>
        <w:tc>
          <w:tcPr>
            <w:tcW w:type="dxa" w:w="2608"/>
            <w:vAlign w:val="top"/>
            <w:tcMar>
              <w:top w:w="70" w:type="dxa"/>
              <w:start w:w="90" w:type="dxa"/>
              <w:bottom w:w="70" w:type="dxa"/>
              <w:end w:w="90" w:type="dxa"/>
            </w:tcMar>
          </w:tcPr>
          <w:p>
            <w:pPr>
              <w:spacing w:after="20"/>
            </w:pPr>
            <w:r>
              <w:rPr>
                <w:sz w:val="17"/>
              </w:rPr>
              <w:t>Current Chromium fullstack sizes</w:t>
            </w:r>
          </w:p>
        </w:tc>
        <w:tc>
          <w:tcPr>
            <w:tcW w:type="dxa" w:w="6463"/>
            <w:vAlign w:val="top"/>
            <w:tcMar>
              <w:top w:w="70" w:type="dxa"/>
              <w:start w:w="90" w:type="dxa"/>
              <w:bottom w:w="70" w:type="dxa"/>
              <w:end w:w="90" w:type="dxa"/>
            </w:tcMar>
          </w:tcPr>
          <w:p>
            <w:pPr>
              <w:spacing w:after="20"/>
            </w:pPr>
            <w:r>
              <w:rPr>
                <w:sz w:val="17"/>
              </w:rPr>
              <w:t>Snapshot 325 B; Delta 273 B; bootstrap cursor 23 B raw; active one-scope cursor 86 B raw</w:t>
            </w:r>
          </w:p>
        </w:tc>
      </w:tr>
      <w:tr>
        <w:trPr>
          <w:cantSplit/>
        </w:trPr>
        <w:tc>
          <w:tcPr>
            <w:tcW w:type="dxa" w:w="2608"/>
            <w:vAlign w:val="top"/>
            <w:tcMar>
              <w:top w:w="70" w:type="dxa"/>
              <w:start w:w="90" w:type="dxa"/>
              <w:bottom w:w="70" w:type="dxa"/>
              <w:end w:w="90" w:type="dxa"/>
            </w:tcMar>
          </w:tcPr>
          <w:p>
            <w:pPr>
              <w:spacing w:after="20"/>
            </w:pPr>
            <w:r>
              <w:rPr>
                <w:sz w:val="17"/>
              </w:rPr>
              <w:t>Experimental resource limits</w:t>
            </w:r>
          </w:p>
        </w:tc>
        <w:tc>
          <w:tcPr>
            <w:tcW w:type="dxa" w:w="6463"/>
            <w:vAlign w:val="top"/>
            <w:tcMar>
              <w:top w:w="70" w:type="dxa"/>
              <w:start w:w="90" w:type="dxa"/>
              <w:bottom w:w="70" w:type="dxa"/>
              <w:end w:w="90" w:type="dxa"/>
            </w:tcMar>
          </w:tcPr>
          <w:p>
            <w:pPr>
              <w:spacing w:after="20"/>
            </w:pPr>
            <w:r>
              <w:rPr>
                <w:sz w:val="17"/>
              </w:rPr>
              <w:t>4096 B COSE; 64 Delta operations; 32 cursor scopes; CBOR depth 32; 5466-byte textual SF ceiling for a 4096-byte decoded object</w:t>
            </w:r>
          </w:p>
        </w:tc>
      </w:tr>
    </w:tbl>
    <w:p>
      <w:pPr>
        <w:spacing w:after="0"/>
      </w:pPr>
    </w:p>
    <w:p>
      <w:r>
        <w:t>Gate 13 established deterministic DNS-state encoding and reproducible COSE vectors. Semantically identical DNS states with case/order differences produced the same deterministic encoding and digest; actual state changes changed the digest. Tampered payloads, non-deterministic encodings and deprecated alg=-8 were rejected. Gate 16 independently verified the frozen COSE/signature vectors in Go, but did not implement the complete semantic state machine; this is therefore partial wire/security interoperability rather than a second full implementation.</w:t>
      </w:r>
    </w:p>
    <w:p>
      <w:pPr>
        <w:pStyle w:val="Heading1"/>
      </w:pPr>
      <w:r>
        <w:t>5. Evidence Ledger: Gates 1–18</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blHeader w:val="true"/>
        </w:trPr>
        <w:tc>
          <w:tcPr>
            <w:tcW w:type="dxa" w:w="794"/>
            <w:shd w:fill="D9E2F3"/>
            <w:vAlign w:val="center"/>
            <w:tcMar>
              <w:top w:w="70" w:type="dxa"/>
              <w:start w:w="90" w:type="dxa"/>
              <w:bottom w:w="70" w:type="dxa"/>
              <w:end w:w="90" w:type="dxa"/>
            </w:tcMar>
          </w:tcPr>
          <w:p>
            <w:pPr>
              <w:spacing w:before="0" w:after="0"/>
            </w:pPr>
            <w:r>
              <w:rPr>
                <w:b/>
                <w:sz w:val="15"/>
              </w:rPr>
              <w:t>Gate</w:t>
            </w:r>
          </w:p>
        </w:tc>
        <w:tc>
          <w:tcPr>
            <w:tcW w:type="dxa" w:w="1020"/>
            <w:shd w:fill="D9E2F3"/>
            <w:vAlign w:val="center"/>
            <w:tcMar>
              <w:top w:w="70" w:type="dxa"/>
              <w:start w:w="90" w:type="dxa"/>
              <w:bottom w:w="70" w:type="dxa"/>
              <w:end w:w="90" w:type="dxa"/>
            </w:tcMar>
          </w:tcPr>
          <w:p>
            <w:pPr>
              <w:spacing w:before="0" w:after="0"/>
            </w:pPr>
            <w:r>
              <w:rPr>
                <w:b/>
                <w:sz w:val="15"/>
              </w:rPr>
              <w:t>Status</w:t>
            </w:r>
          </w:p>
        </w:tc>
        <w:tc>
          <w:tcPr>
            <w:tcW w:type="dxa" w:w="2154"/>
            <w:shd w:fill="D9E2F3"/>
            <w:vAlign w:val="center"/>
            <w:tcMar>
              <w:top w:w="70" w:type="dxa"/>
              <w:start w:w="90" w:type="dxa"/>
              <w:bottom w:w="70" w:type="dxa"/>
              <w:end w:w="90" w:type="dxa"/>
            </w:tcMar>
          </w:tcPr>
          <w:p>
            <w:pPr>
              <w:spacing w:before="0" w:after="0"/>
            </w:pPr>
            <w:r>
              <w:rPr>
                <w:b/>
                <w:sz w:val="15"/>
              </w:rPr>
              <w:t>Focus</w:t>
            </w:r>
          </w:p>
        </w:tc>
        <w:tc>
          <w:tcPr>
            <w:tcW w:type="dxa" w:w="5102"/>
            <w:shd w:fill="D9E2F3"/>
            <w:vAlign w:val="center"/>
            <w:tcMar>
              <w:top w:w="70" w:type="dxa"/>
              <w:start w:w="90" w:type="dxa"/>
              <w:bottom w:w="70" w:type="dxa"/>
              <w:end w:w="90" w:type="dxa"/>
            </w:tcMar>
          </w:tcPr>
          <w:p>
            <w:pPr>
              <w:spacing w:before="0" w:after="0"/>
            </w:pPr>
            <w:r>
              <w:rPr>
                <w:b/>
                <w:sz w:val="15"/>
              </w:rPr>
              <w:t>Result / supported claim</w:t>
            </w:r>
          </w:p>
        </w:tc>
      </w:tr>
      <w:tr>
        <w:trPr>
          <w:cantSplit/>
        </w:trPr>
        <w:tc>
          <w:tcPr>
            <w:tcW w:type="dxa" w:w="794"/>
            <w:vAlign w:val="top"/>
            <w:tcMar>
              <w:top w:w="70" w:type="dxa"/>
              <w:start w:w="90" w:type="dxa"/>
              <w:bottom w:w="70" w:type="dxa"/>
              <w:end w:w="90" w:type="dxa"/>
            </w:tcMar>
          </w:tcPr>
          <w:p>
            <w:pPr>
              <w:spacing w:after="0" w:before="0"/>
            </w:pPr>
            <w:r>
              <w:rPr>
                <w:sz w:val="15"/>
              </w:rPr>
              <w:t>1–2</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Functional/security foundation</w:t>
            </w:r>
          </w:p>
        </w:tc>
        <w:tc>
          <w:tcPr>
            <w:tcW w:type="dxa" w:w="5102"/>
            <w:vAlign w:val="top"/>
            <w:tcMar>
              <w:top w:w="70" w:type="dxa"/>
              <w:start w:w="90" w:type="dxa"/>
              <w:bottom w:w="70" w:type="dxa"/>
              <w:end w:w="90" w:type="dxa"/>
            </w:tcMar>
          </w:tcPr>
          <w:p>
            <w:pPr>
              <w:spacing w:after="0" w:before="0"/>
            </w:pPr>
            <w:r>
              <w:rPr>
                <w:sz w:val="15"/>
              </w:rPr>
              <w:t>DNS bootstrap; signed in-band reconciliation; later use without another DNS lookup; total-path failure -&gt; DNS recovery; monotone epoch/generation; replay/tamper/wrong-service/wrong-view rejection; transactional multi-RR update; TLS validation; atomic commit/crash safety.</w:t>
            </w:r>
          </w:p>
        </w:tc>
      </w:tr>
      <w:tr>
        <w:trPr>
          <w:cantSplit/>
        </w:trPr>
        <w:tc>
          <w:tcPr>
            <w:tcW w:type="dxa" w:w="794"/>
            <w:vAlign w:val="top"/>
            <w:tcMar>
              <w:top w:w="70" w:type="dxa"/>
              <w:start w:w="90" w:type="dxa"/>
              <w:bottom w:w="70" w:type="dxa"/>
              <w:end w:w="90" w:type="dxa"/>
            </w:tcMar>
          </w:tcPr>
          <w:p>
            <w:pPr>
              <w:spacing w:after="0" w:before="0"/>
            </w:pPr>
            <w:r>
              <w:rPr>
                <w:sz w:val="15"/>
              </w:rPr>
              <w:t>3 / 3B</w:t>
            </w:r>
          </w:p>
        </w:tc>
        <w:tc>
          <w:tcPr>
            <w:tcW w:type="dxa" w:w="1020"/>
            <w:vAlign w:val="top"/>
            <w:tcMar>
              <w:top w:w="70" w:type="dxa"/>
              <w:start w:w="90" w:type="dxa"/>
              <w:bottom w:w="70" w:type="dxa"/>
              <w:end w:w="90" w:type="dxa"/>
            </w:tcMar>
          </w:tcPr>
          <w:p>
            <w:pPr>
              <w:spacing w:after="0" w:before="0"/>
            </w:pPr>
            <w:r>
              <w:rPr>
                <w:sz w:val="15"/>
              </w:rPr>
              <w:t>PASS / GO</w:t>
            </w:r>
          </w:p>
        </w:tc>
        <w:tc>
          <w:tcPr>
            <w:tcW w:type="dxa" w:w="2154"/>
            <w:vAlign w:val="top"/>
            <w:tcMar>
              <w:top w:w="70" w:type="dxa"/>
              <w:start w:w="90" w:type="dxa"/>
              <w:bottom w:w="70" w:type="dxa"/>
              <w:end w:w="90" w:type="dxa"/>
            </w:tcMar>
          </w:tcPr>
          <w:p>
            <w:pPr>
              <w:spacing w:after="0" w:before="0"/>
            </w:pPr>
            <w:r>
              <w:rPr>
                <w:sz w:val="15"/>
              </w:rPr>
              <w:t>Performance &amp; external-validity lab</w:t>
            </w:r>
          </w:p>
        </w:tc>
        <w:tc>
          <w:tcPr>
            <w:tcW w:type="dxa" w:w="5102"/>
            <w:vAlign w:val="top"/>
            <w:tcMar>
              <w:top w:w="70" w:type="dxa"/>
              <w:start w:w="90" w:type="dxa"/>
              <w:bottom w:w="70" w:type="dxa"/>
              <w:end w:w="90" w:type="dxa"/>
            </w:tcMar>
          </w:tcPr>
          <w:p>
            <w:pPr>
              <w:spacing w:after="0" w:before="0"/>
            </w:pPr>
            <w:r>
              <w:rPr>
                <w:sz w:val="15"/>
              </w:rPr>
              <w:t>In-band update added small marginal processing on an already-active path; separate DNS and Push paths scaled with injected/real RTT. Idle 5 s generated IDLE_PACKETS=0.</w:t>
            </w:r>
          </w:p>
        </w:tc>
      </w:tr>
      <w:tr>
        <w:trPr>
          <w:cantSplit/>
        </w:trPr>
        <w:tc>
          <w:tcPr>
            <w:tcW w:type="dxa" w:w="794"/>
            <w:vAlign w:val="top"/>
            <w:tcMar>
              <w:top w:w="70" w:type="dxa"/>
              <w:start w:w="90" w:type="dxa"/>
              <w:bottom w:w="70" w:type="dxa"/>
              <w:end w:w="90" w:type="dxa"/>
            </w:tcMar>
          </w:tcPr>
          <w:p>
            <w:pPr>
              <w:spacing w:after="0" w:before="0"/>
            </w:pPr>
            <w:r>
              <w:rPr>
                <w:sz w:val="15"/>
              </w:rPr>
              <w:t>4</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Signal tax &amp; bounded state</w:t>
            </w:r>
          </w:p>
        </w:tc>
        <w:tc>
          <w:tcPr>
            <w:tcW w:type="dxa" w:w="5102"/>
            <w:vAlign w:val="top"/>
            <w:tcMar>
              <w:top w:w="70" w:type="dxa"/>
              <w:start w:w="90" w:type="dxa"/>
              <w:bottom w:w="70" w:type="dxa"/>
              <w:end w:w="90" w:type="dxa"/>
            </w:tcMar>
          </w:tcPr>
          <w:p>
            <w:pPr>
              <w:spacing w:after="0" w:before="0"/>
            </w:pPr>
            <w:r>
              <w:rPr>
                <w:sz w:val="15"/>
              </w:rPr>
              <w:t>Early textual signal +26 B/request, +0 packets. History window 8 remained bounded with 100,000 random cursors; no persisted per-client subscription growth.</w:t>
            </w:r>
          </w:p>
        </w:tc>
      </w:tr>
      <w:tr>
        <w:trPr>
          <w:cantSplit/>
        </w:trPr>
        <w:tc>
          <w:tcPr>
            <w:tcW w:type="dxa" w:w="794"/>
            <w:vAlign w:val="top"/>
            <w:tcMar>
              <w:top w:w="70" w:type="dxa"/>
              <w:start w:w="90" w:type="dxa"/>
              <w:bottom w:w="70" w:type="dxa"/>
              <w:end w:w="90" w:type="dxa"/>
            </w:tcMar>
          </w:tcPr>
          <w:p>
            <w:pPr>
              <w:spacing w:after="0" w:before="0"/>
            </w:pPr>
            <w:r>
              <w:rPr>
                <w:sz w:val="15"/>
              </w:rPr>
              <w:t>5</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Signed Checkpoint</w:t>
            </w:r>
          </w:p>
        </w:tc>
        <w:tc>
          <w:tcPr>
            <w:tcW w:type="dxa" w:w="5102"/>
            <w:vAlign w:val="top"/>
            <w:tcMar>
              <w:top w:w="70" w:type="dxa"/>
              <w:start w:w="90" w:type="dxa"/>
              <w:bottom w:w="70" w:type="dxa"/>
              <w:end w:w="90" w:type="dxa"/>
            </w:tcMar>
          </w:tcPr>
          <w:p>
            <w:pPr>
              <w:spacing w:after="0" w:before="0"/>
            </w:pPr>
            <w:r>
              <w:rPr>
                <w:sz w:val="15"/>
              </w:rPr>
              <w:t>Time-bounded generation/digest authorization; expiry and tamper behavior exercised. Checkpoint is bounded authorization, not proof that no later state exists.</w:t>
            </w:r>
          </w:p>
        </w:tc>
      </w:tr>
      <w:tr>
        <w:trPr>
          <w:cantSplit/>
        </w:trPr>
        <w:tc>
          <w:tcPr>
            <w:tcW w:type="dxa" w:w="794"/>
            <w:vAlign w:val="top"/>
            <w:tcMar>
              <w:top w:w="70" w:type="dxa"/>
              <w:start w:w="90" w:type="dxa"/>
              <w:bottom w:w="70" w:type="dxa"/>
              <w:end w:w="90" w:type="dxa"/>
            </w:tcMar>
          </w:tcPr>
          <w:p>
            <w:pPr>
              <w:spacing w:after="0" w:before="0"/>
            </w:pPr>
            <w:r>
              <w:rPr>
                <w:sz w:val="15"/>
              </w:rPr>
              <w:t>6</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Scoped versioning</w:t>
            </w:r>
          </w:p>
        </w:tc>
        <w:tc>
          <w:tcPr>
            <w:tcW w:type="dxa" w:w="5102"/>
            <w:vAlign w:val="top"/>
            <w:tcMar>
              <w:top w:w="70" w:type="dxa"/>
              <w:start w:w="90" w:type="dxa"/>
              <w:bottom w:w="70" w:type="dxa"/>
              <w:end w:w="90" w:type="dxa"/>
            </w:tcMar>
          </w:tcPr>
          <w:p>
            <w:pPr>
              <w:spacing w:after="0" w:before="0"/>
            </w:pPr>
            <w:r>
              <w:rPr>
                <w:sz w:val="15"/>
              </w:rPr>
              <w:t>Atomic A+AAAA change within one scope; wrong-scope reject; 10,002 Authority scopes + 100,000 irrelevant changes left two active client scopes unchanged.</w:t>
            </w:r>
          </w:p>
        </w:tc>
      </w:tr>
      <w:tr>
        <w:trPr>
          <w:cantSplit/>
        </w:trPr>
        <w:tc>
          <w:tcPr>
            <w:tcW w:type="dxa" w:w="794"/>
            <w:vAlign w:val="top"/>
            <w:tcMar>
              <w:top w:w="70" w:type="dxa"/>
              <w:start w:w="90" w:type="dxa"/>
              <w:bottom w:w="70" w:type="dxa"/>
              <w:end w:w="90" w:type="dxa"/>
            </w:tcMar>
          </w:tcPr>
          <w:p>
            <w:pPr>
              <w:spacing w:after="0" w:before="0"/>
            </w:pPr>
            <w:r>
              <w:rPr>
                <w:sz w:val="15"/>
              </w:rPr>
              <w:t>7</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Key rotation</w:t>
            </w:r>
          </w:p>
        </w:tc>
        <w:tc>
          <w:tcPr>
            <w:tcW w:type="dxa" w:w="5102"/>
            <w:vAlign w:val="top"/>
            <w:tcMar>
              <w:top w:w="70" w:type="dxa"/>
              <w:start w:w="90" w:type="dxa"/>
              <w:bottom w:w="70" w:type="dxa"/>
              <w:end w:w="90" w:type="dxa"/>
            </w:tcMar>
          </w:tcPr>
          <w:p>
            <w:pPr>
              <w:spacing w:after="0" w:before="0"/>
            </w:pPr>
            <w:r>
              <w:rPr>
                <w:sz w:val="15"/>
              </w:rPr>
              <w:t>Legitimate K1-&gt;K2 accepted with bounded overlap/retirement; fake/replayed transitions rejected.</w:t>
            </w:r>
          </w:p>
        </w:tc>
      </w:tr>
      <w:tr>
        <w:trPr>
          <w:cantSplit/>
        </w:trPr>
        <w:tc>
          <w:tcPr>
            <w:tcW w:type="dxa" w:w="794"/>
            <w:vAlign w:val="top"/>
            <w:tcMar>
              <w:top w:w="70" w:type="dxa"/>
              <w:start w:w="90" w:type="dxa"/>
              <w:bottom w:w="70" w:type="dxa"/>
              <w:end w:w="90" w:type="dxa"/>
            </w:tcMar>
          </w:tcPr>
          <w:p>
            <w:pPr>
              <w:spacing w:after="0" w:before="0"/>
            </w:pPr>
            <w:r>
              <w:rPr>
                <w:sz w:val="15"/>
              </w:rPr>
              <w:t>8</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DNSSEC trust bootstrap</w:t>
            </w:r>
          </w:p>
        </w:tc>
        <w:tc>
          <w:tcPr>
            <w:tcW w:type="dxa" w:w="5102"/>
            <w:vAlign w:val="top"/>
            <w:tcMar>
              <w:top w:w="70" w:type="dxa"/>
              <w:start w:w="90" w:type="dxa"/>
              <w:bottom w:w="70" w:type="dxa"/>
              <w:end w:w="90" w:type="dxa"/>
            </w:tcMar>
          </w:tcPr>
          <w:p>
            <w:pPr>
              <w:spacing w:after="0" w:before="0"/>
            </w:pPr>
            <w:r>
              <w:rPr>
                <w:sz w:val="15"/>
              </w:rPr>
              <w:t>Signed DNS hierarchy bootstrapped Freshness key; tampered published key produced DNSSEC bogus and was not installed.</w:t>
            </w:r>
          </w:p>
        </w:tc>
      </w:tr>
      <w:tr>
        <w:trPr>
          <w:cantSplit/>
        </w:trPr>
        <w:tc>
          <w:tcPr>
            <w:tcW w:type="dxa" w:w="794"/>
            <w:vAlign w:val="top"/>
            <w:tcMar>
              <w:top w:w="70" w:type="dxa"/>
              <w:start w:w="90" w:type="dxa"/>
              <w:bottom w:w="70" w:type="dxa"/>
              <w:end w:w="90" w:type="dxa"/>
            </w:tcMar>
          </w:tcPr>
          <w:p>
            <w:pPr>
              <w:spacing w:after="0" w:before="0"/>
            </w:pPr>
            <w:r>
              <w:rPr>
                <w:sz w:val="15"/>
              </w:rPr>
              <w:t>9</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Fork detection</w:t>
            </w:r>
          </w:p>
        </w:tc>
        <w:tc>
          <w:tcPr>
            <w:tcW w:type="dxa" w:w="5102"/>
            <w:vAlign w:val="top"/>
            <w:tcMar>
              <w:top w:w="70" w:type="dxa"/>
              <w:start w:w="90" w:type="dxa"/>
              <w:bottom w:w="70" w:type="dxa"/>
              <w:end w:w="90" w:type="dxa"/>
            </w:tcMar>
          </w:tcPr>
          <w:p>
            <w:pPr>
              <w:spacing w:after="0" w:before="0"/>
            </w:pPr>
            <w:r>
              <w:rPr>
                <w:sz w:val="15"/>
              </w:rPr>
              <w:t>Same generation + different digest detected as fork; wrong from/to digests rejected.</w:t>
            </w:r>
          </w:p>
        </w:tc>
      </w:tr>
      <w:tr>
        <w:trPr>
          <w:cantSplit/>
        </w:trPr>
        <w:tc>
          <w:tcPr>
            <w:tcW w:type="dxa" w:w="794"/>
            <w:vAlign w:val="top"/>
            <w:tcMar>
              <w:top w:w="70" w:type="dxa"/>
              <w:start w:w="90" w:type="dxa"/>
              <w:bottom w:w="70" w:type="dxa"/>
              <w:end w:w="90" w:type="dxa"/>
            </w:tcMar>
          </w:tcPr>
          <w:p>
            <w:pPr>
              <w:spacing w:after="0" w:before="0"/>
            </w:pPr>
            <w:r>
              <w:rPr>
                <w:sz w:val="15"/>
              </w:rPr>
              <w:t>10</w:t>
            </w:r>
          </w:p>
        </w:tc>
        <w:tc>
          <w:tcPr>
            <w:tcW w:type="dxa" w:w="1020"/>
            <w:vAlign w:val="top"/>
            <w:tcMar>
              <w:top w:w="70" w:type="dxa"/>
              <w:start w:w="90" w:type="dxa"/>
              <w:bottom w:w="70" w:type="dxa"/>
              <w:end w:w="90" w:type="dxa"/>
            </w:tcMar>
          </w:tcPr>
          <w:p>
            <w:pPr>
              <w:spacing w:after="0" w:before="0"/>
            </w:pPr>
            <w:r>
              <w:rPr>
                <w:sz w:val="15"/>
              </w:rPr>
              <w:t>PASS</w:t>
            </w:r>
          </w:p>
        </w:tc>
        <w:tc>
          <w:tcPr>
            <w:tcW w:type="dxa" w:w="2154"/>
            <w:vAlign w:val="top"/>
            <w:tcMar>
              <w:top w:w="70" w:type="dxa"/>
              <w:start w:w="90" w:type="dxa"/>
              <w:bottom w:w="70" w:type="dxa"/>
              <w:end w:w="90" w:type="dxa"/>
            </w:tcMar>
          </w:tcPr>
          <w:p>
            <w:pPr>
              <w:spacing w:after="0" w:before="0"/>
            </w:pPr>
            <w:r>
              <w:rPr>
                <w:sz w:val="15"/>
              </w:rPr>
              <w:t>Negative DNS state</w:t>
            </w:r>
          </w:p>
        </w:tc>
        <w:tc>
          <w:tcPr>
            <w:tcW w:type="dxa" w:w="5102"/>
            <w:vAlign w:val="top"/>
            <w:tcMar>
              <w:top w:w="70" w:type="dxa"/>
              <w:start w:w="90" w:type="dxa"/>
              <w:bottom w:w="70" w:type="dxa"/>
              <w:end w:w="90" w:type="dxa"/>
            </w:tcMar>
          </w:tcPr>
          <w:p>
            <w:pPr>
              <w:spacing w:after="0" w:before="0"/>
            </w:pPr>
            <w:r>
              <w:rPr>
                <w:sz w:val="15"/>
              </w:rPr>
              <w:t>RRset removal -&gt; NODATA, whole-name removal -&gt; NXDOMAIN, stale positive rejection, authorized recreation, no partial invalid operation commit.</w:t>
            </w:r>
          </w:p>
        </w:tc>
      </w:tr>
      <w:tr>
        <w:tc>
          <w:tcPr>
            <w:tcW w:type="dxa" w:w="2550"/>
          </w:tcPr>
          <w:p>
            <w:pPr>
              <w:spacing w:before="0" w:after="0"/>
            </w:pPr>
            <w:r>
              <w:rPr>
                <w:sz w:val="15"/>
              </w:rPr>
              <w:t>11</w:t>
            </w:r>
          </w:p>
        </w:tc>
        <w:tc>
          <w:tcPr>
            <w:tcW w:type="dxa" w:w="2550"/>
          </w:tcPr>
          <w:p>
            <w:pPr>
              <w:spacing w:before="0" w:after="0"/>
            </w:pPr>
            <w:r>
              <w:rPr>
                <w:sz w:val="15"/>
              </w:rPr>
              <w:t>PASS</w:t>
            </w:r>
          </w:p>
        </w:tc>
        <w:tc>
          <w:tcPr>
            <w:tcW w:type="dxa" w:w="2550"/>
          </w:tcPr>
          <w:p>
            <w:pPr>
              <w:spacing w:before="0" w:after="0"/>
            </w:pPr>
            <w:r>
              <w:rPr>
                <w:sz w:val="15"/>
              </w:rPr>
              <w:t>Compromised-key reset</w:t>
            </w:r>
          </w:p>
        </w:tc>
        <w:tc>
          <w:tcPr>
            <w:tcW w:type="dxa" w:w="2550"/>
          </w:tcPr>
          <w:p>
            <w:pPr>
              <w:spacing w:before="0" w:after="0"/>
            </w:pPr>
            <w:r>
              <w:rPr>
                <w:sz w:val="15"/>
              </w:rPr>
              <w:t>Lower Freshness layer cannot detect theft of a valid private key; DNSSEC-published newer trust state successfully replaced compromised chain.</w:t>
            </w:r>
          </w:p>
        </w:tc>
      </w:tr>
      <w:tr>
        <w:tc>
          <w:tcPr>
            <w:tcW w:type="dxa" w:w="2550"/>
          </w:tcPr>
          <w:p>
            <w:pPr>
              <w:spacing w:before="0" w:after="0"/>
            </w:pPr>
            <w:r>
              <w:rPr>
                <w:sz w:val="15"/>
              </w:rPr>
              <w:t>12</w:t>
            </w:r>
          </w:p>
        </w:tc>
        <w:tc>
          <w:tcPr>
            <w:tcW w:type="dxa" w:w="2550"/>
          </w:tcPr>
          <w:p>
            <w:pPr>
              <w:spacing w:before="0" w:after="0"/>
            </w:pPr>
            <w:r>
              <w:rPr>
                <w:sz w:val="15"/>
              </w:rPr>
              <w:t>PASS</w:t>
            </w:r>
          </w:p>
        </w:tc>
        <w:tc>
          <w:tcPr>
            <w:tcW w:type="dxa" w:w="2550"/>
          </w:tcPr>
          <w:p>
            <w:pPr>
              <w:spacing w:before="0" w:after="0"/>
            </w:pPr>
            <w:r>
              <w:rPr>
                <w:sz w:val="15"/>
              </w:rPr>
              <w:t>Separate root_epoch</w:t>
            </w:r>
          </w:p>
        </w:tc>
        <w:tc>
          <w:tcPr>
            <w:tcW w:type="dxa" w:w="2550"/>
          </w:tcPr>
          <w:p>
            <w:pPr>
              <w:spacing w:before="0" w:after="0"/>
            </w:pPr>
            <w:r>
              <w:rPr>
                <w:sz w:val="15"/>
              </w:rPr>
              <w:t>Attacker-inflated lower counters to 2^63-1 did not block DNSSEC root_epoch reset; old-root objects and rollback were rejected.</w:t>
            </w:r>
          </w:p>
        </w:tc>
      </w:tr>
      <w:tr>
        <w:tc>
          <w:tcPr>
            <w:tcW w:type="dxa" w:w="2550"/>
          </w:tcPr>
          <w:p>
            <w:pPr>
              <w:spacing w:before="0" w:after="0"/>
            </w:pPr>
            <w:r>
              <w:rPr>
                <w:sz w:val="15"/>
              </w:rPr>
              <w:t>13</w:t>
            </w:r>
          </w:p>
        </w:tc>
        <w:tc>
          <w:tcPr>
            <w:tcW w:type="dxa" w:w="2550"/>
          </w:tcPr>
          <w:p>
            <w:pPr>
              <w:spacing w:before="0" w:after="0"/>
            </w:pPr>
            <w:r>
              <w:rPr>
                <w:sz w:val="15"/>
              </w:rPr>
              <w:t>PASS</w:t>
            </w:r>
          </w:p>
        </w:tc>
        <w:tc>
          <w:tcPr>
            <w:tcW w:type="dxa" w:w="2550"/>
          </w:tcPr>
          <w:p>
            <w:pPr>
              <w:spacing w:before="0" w:after="0"/>
            </w:pPr>
            <w:r>
              <w:rPr>
                <w:sz w:val="15"/>
              </w:rPr>
              <w:t>Deterministic CBOR/COSE</w:t>
            </w:r>
          </w:p>
        </w:tc>
        <w:tc>
          <w:tcPr>
            <w:tcW w:type="dxa" w:w="2550"/>
          </w:tcPr>
          <w:p>
            <w:pPr>
              <w:spacing w:before="0" w:after="0"/>
            </w:pPr>
            <w:r>
              <w:rPr>
                <w:sz w:val="15"/>
              </w:rPr>
              <w:t>Concrete deterministic signed binary profile with reproducible vectors and measured size. Frozen Gate-13 Delta COSE = 266 B.</w:t>
            </w:r>
          </w:p>
        </w:tc>
      </w:tr>
      <w:tr>
        <w:tc>
          <w:tcPr>
            <w:tcW w:type="dxa" w:w="2550"/>
          </w:tcPr>
          <w:p>
            <w:pPr>
              <w:spacing w:before="0" w:after="0"/>
            </w:pPr>
            <w:r>
              <w:rPr>
                <w:sz w:val="15"/>
              </w:rPr>
              <w:t>14</w:t>
            </w:r>
          </w:p>
        </w:tc>
        <w:tc>
          <w:tcPr>
            <w:tcW w:type="dxa" w:w="2550"/>
          </w:tcPr>
          <w:p>
            <w:pPr>
              <w:spacing w:before="0" w:after="0"/>
            </w:pPr>
            <w:r>
              <w:rPr>
                <w:sz w:val="15"/>
              </w:rPr>
              <w:t>PASS</w:t>
            </w:r>
          </w:p>
        </w:tc>
        <w:tc>
          <w:tcPr>
            <w:tcW w:type="dxa" w:w="2550"/>
          </w:tcPr>
          <w:p>
            <w:pPr>
              <w:spacing w:before="0" w:after="0"/>
            </w:pPr>
            <w:r>
              <w:rPr>
                <w:sz w:val="15"/>
              </w:rPr>
              <w:t>admission_context</w:t>
            </w:r>
          </w:p>
        </w:tc>
        <w:tc>
          <w:tcPr>
            <w:tcW w:type="dxa" w:w="2550"/>
          </w:tcPr>
          <w:p>
            <w:pPr>
              <w:spacing w:before="0" w:after="0"/>
            </w:pPr>
            <w:r>
              <w:rPr>
                <w:sz w:val="15"/>
              </w:rPr>
              <w:t>Validly signed wrong-cohort Snapshot rejected; DNSSEC context change cleared old scope and required new admission.</w:t>
            </w:r>
          </w:p>
        </w:tc>
      </w:tr>
      <w:tr>
        <w:tc>
          <w:tcPr>
            <w:tcW w:type="dxa" w:w="2550"/>
          </w:tcPr>
          <w:p>
            <w:pPr>
              <w:spacing w:before="0" w:after="0"/>
            </w:pPr>
            <w:r>
              <w:rPr>
                <w:sz w:val="15"/>
              </w:rPr>
              <w:t>15</w:t>
            </w:r>
          </w:p>
        </w:tc>
        <w:tc>
          <w:tcPr>
            <w:tcW w:type="dxa" w:w="2550"/>
          </w:tcPr>
          <w:p>
            <w:pPr>
              <w:spacing w:before="0" w:after="0"/>
            </w:pPr>
            <w:r>
              <w:rPr>
                <w:sz w:val="15"/>
              </w:rPr>
              <w:t>PASS</w:t>
            </w:r>
          </w:p>
        </w:tc>
        <w:tc>
          <w:tcPr>
            <w:tcW w:type="dxa" w:w="2550"/>
          </w:tcPr>
          <w:p>
            <w:pPr>
              <w:spacing w:before="0" w:after="0"/>
            </w:pPr>
            <w:r>
              <w:rPr>
                <w:sz w:val="15"/>
              </w:rPr>
              <w:t>Resource bounds</w:t>
            </w:r>
          </w:p>
        </w:tc>
        <w:tc>
          <w:tcPr>
            <w:tcW w:type="dxa" w:w="2550"/>
          </w:tcPr>
          <w:p>
            <w:pPr>
              <w:spacing w:before="0" w:after="0"/>
            </w:pPr>
            <w:r>
              <w:rPr>
                <w:sz w:val="15"/>
              </w:rPr>
              <w:t>Oversize rejected before expensive work; exact operation/scope/depth limits exercised; producer can fall back to small ResyncRequired.</w:t>
            </w:r>
          </w:p>
        </w:tc>
      </w:tr>
      <w:tr>
        <w:tc>
          <w:tcPr>
            <w:tcW w:type="dxa" w:w="2550"/>
          </w:tcPr>
          <w:p>
            <w:pPr>
              <w:spacing w:before="0" w:after="0"/>
            </w:pPr>
            <w:r>
              <w:rPr>
                <w:sz w:val="15"/>
              </w:rPr>
              <w:t>16</w:t>
            </w:r>
          </w:p>
        </w:tc>
        <w:tc>
          <w:tcPr>
            <w:tcW w:type="dxa" w:w="2550"/>
          </w:tcPr>
          <w:p>
            <w:pPr>
              <w:spacing w:before="0" w:after="0"/>
            </w:pPr>
            <w:r>
              <w:rPr>
                <w:sz w:val="15"/>
              </w:rPr>
              <w:t>PASS</w:t>
            </w:r>
          </w:p>
        </w:tc>
        <w:tc>
          <w:tcPr>
            <w:tcW w:type="dxa" w:w="2550"/>
          </w:tcPr>
          <w:p>
            <w:pPr>
              <w:spacing w:before="0" w:after="0"/>
            </w:pPr>
            <w:r>
              <w:rPr>
                <w:sz w:val="15"/>
              </w:rPr>
              <w:t>Independent Go verification</w:t>
            </w:r>
          </w:p>
        </w:tc>
        <w:tc>
          <w:tcPr>
            <w:tcW w:type="dxa" w:w="2550"/>
          </w:tcPr>
          <w:p>
            <w:pPr>
              <w:spacing w:before="0" w:after="0"/>
            </w:pPr>
            <w:r>
              <w:rPr>
                <w:sz w:val="15"/>
              </w:rPr>
              <w:t>Independent CBOR/Ed25519 stack matched hashes and signatures; not a complete second semantic implementation.</w:t>
            </w:r>
          </w:p>
        </w:tc>
      </w:tr>
      <w:tr>
        <w:tc>
          <w:tcPr>
            <w:tcW w:type="dxa" w:w="2550"/>
          </w:tcPr>
          <w:p>
            <w:pPr>
              <w:spacing w:before="0" w:after="0"/>
            </w:pPr>
            <w:r>
              <w:rPr>
                <w:sz w:val="15"/>
              </w:rPr>
              <w:t>17</w:t>
            </w:r>
          </w:p>
        </w:tc>
        <w:tc>
          <w:tcPr>
            <w:tcW w:type="dxa" w:w="2550"/>
          </w:tcPr>
          <w:p>
            <w:pPr>
              <w:spacing w:before="0" w:after="0"/>
            </w:pPr>
            <w:r>
              <w:rPr>
                <w:sz w:val="15"/>
              </w:rPr>
              <w:t>PASS</w:t>
            </w:r>
          </w:p>
        </w:tc>
        <w:tc>
          <w:tcPr>
            <w:tcW w:type="dxa" w:w="2550"/>
          </w:tcPr>
          <w:p>
            <w:pPr>
              <w:spacing w:before="0" w:after="0"/>
            </w:pPr>
            <w:r>
              <w:rPr>
                <w:sz w:val="15"/>
              </w:rPr>
              <w:t>Real HTTP/2 carrier</w:t>
            </w:r>
          </w:p>
        </w:tc>
        <w:tc>
          <w:tcPr>
            <w:tcW w:type="dxa" w:w="2550"/>
          </w:tcPr>
          <w:p>
            <w:pPr>
              <w:spacing w:before="0" w:after="0"/>
            </w:pPr>
            <w:r>
              <w:rPr>
                <w:sz w:val="15"/>
              </w:rPr>
              <w:t>Exact Gate-13 Delta rode stream 3 on the same h2/TLS connection; no dedicated Freshness connection.</w:t>
            </w:r>
          </w:p>
        </w:tc>
      </w:tr>
      <w:tr>
        <w:tc>
          <w:tcPr>
            <w:tcW w:type="dxa" w:w="2550"/>
          </w:tcPr>
          <w:p>
            <w:pPr>
              <w:spacing w:before="0" w:after="0"/>
            </w:pPr>
            <w:r>
              <w:rPr>
                <w:sz w:val="15"/>
              </w:rPr>
              <w:t>18</w:t>
            </w:r>
          </w:p>
        </w:tc>
        <w:tc>
          <w:tcPr>
            <w:tcW w:type="dxa" w:w="2550"/>
          </w:tcPr>
          <w:p>
            <w:pPr>
              <w:spacing w:before="0" w:after="0"/>
            </w:pPr>
            <w:r>
              <w:rPr>
                <w:sz w:val="15"/>
              </w:rPr>
              <w:t>PASS</w:t>
            </w:r>
          </w:p>
        </w:tc>
        <w:tc>
          <w:tcPr>
            <w:tcW w:type="dxa" w:w="2550"/>
          </w:tcPr>
          <w:p>
            <w:pPr>
              <w:spacing w:before="0" w:after="0"/>
            </w:pPr>
            <w:r>
              <w:rPr>
                <w:sz w:val="15"/>
              </w:rPr>
              <w:t>Real HTTP/3 carrier</w:t>
            </w:r>
          </w:p>
        </w:tc>
        <w:tc>
          <w:tcPr>
            <w:tcW w:type="dxa" w:w="2550"/>
          </w:tcPr>
          <w:p>
            <w:pPr>
              <w:spacing w:before="0" w:after="0"/>
            </w:pPr>
            <w:r>
              <w:rPr>
                <w:sz w:val="15"/>
              </w:rPr>
              <w:t>Exact Gate-13 Delta rode stream 4 on one QUIC connection/handshake; no second Freshness handshake.</w:t>
            </w:r>
          </w:p>
        </w:tc>
      </w:tr>
    </w:tbl>
    <w:p>
      <w:pPr>
        <w:spacing w:after="0"/>
      </w:pPr>
    </w:p>
    <w:p>
      <w:pPr>
        <w:spacing w:after="0"/>
      </w:pPr>
    </w:p>
    <w:p>
      <w:pPr>
        <w:pStyle w:val="Heading1"/>
      </w:pPr>
      <w:r>
        <w:t>6. Real Chromium Full-Stack Integration</w:t>
      </w:r>
    </w:p>
    <w:p>
      <w:r>
        <w:t>The later phase moved beyond the synthetic Gate-18 aioquic carrier into a patched Chromium 151.0.7922.34 vertical slice. The lab used a DNSSEC-validating resolver behind Secure DoH; Chromium relied on the trusted validating resolver and AD-authenticated discovery rather than acting as a full DNSSEC validator itself.</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35"/>
            <w:shd w:fill="D9E2F3"/>
            <w:vAlign w:val="center"/>
            <w:tcMar>
              <w:top w:w="70" w:type="dxa"/>
              <w:start w:w="90" w:type="dxa"/>
              <w:bottom w:w="70" w:type="dxa"/>
              <w:end w:w="90" w:type="dxa"/>
            </w:tcMar>
          </w:tcPr>
          <w:p>
            <w:r>
              <w:rPr>
                <w:b/>
                <w:sz w:val="17"/>
              </w:rPr>
              <w:t>Component</w:t>
            </w:r>
          </w:p>
        </w:tc>
        <w:tc>
          <w:tcPr>
            <w:tcW w:type="dxa" w:w="6236"/>
            <w:shd w:fill="D9E2F3"/>
            <w:vAlign w:val="center"/>
            <w:tcMar>
              <w:top w:w="70" w:type="dxa"/>
              <w:start w:w="90" w:type="dxa"/>
              <w:bottom w:w="70" w:type="dxa"/>
              <w:end w:w="90" w:type="dxa"/>
            </w:tcMar>
          </w:tcPr>
          <w:p>
            <w:r>
              <w:rPr>
                <w:b/>
                <w:sz w:val="17"/>
              </w:rPr>
              <w:t>Lab value</w:t>
            </w:r>
          </w:p>
        </w:tc>
      </w:tr>
      <w:tr>
        <w:trPr>
          <w:cantSplit/>
        </w:trPr>
        <w:tc>
          <w:tcPr>
            <w:tcW w:type="dxa" w:w="2835"/>
            <w:vAlign w:val="top"/>
            <w:tcMar>
              <w:top w:w="70" w:type="dxa"/>
              <w:start w:w="90" w:type="dxa"/>
              <w:bottom w:w="70" w:type="dxa"/>
              <w:end w:w="90" w:type="dxa"/>
            </w:tcMar>
          </w:tcPr>
          <w:p>
            <w:pPr>
              <w:spacing w:after="20"/>
            </w:pPr>
            <w:r>
              <w:rPr>
                <w:sz w:val="17"/>
              </w:rPr>
              <w:t>Chromium</w:t>
            </w:r>
          </w:p>
        </w:tc>
        <w:tc>
          <w:tcPr>
            <w:tcW w:type="dxa" w:w="6236"/>
            <w:vAlign w:val="top"/>
            <w:tcMar>
              <w:top w:w="70" w:type="dxa"/>
              <w:start w:w="90" w:type="dxa"/>
              <w:bottom w:w="70" w:type="dxa"/>
              <w:end w:w="90" w:type="dxa"/>
            </w:tcMar>
          </w:tcPr>
          <w:p>
            <w:pPr>
              <w:spacing w:after="20"/>
            </w:pPr>
            <w:r>
              <w:rPr>
                <w:sz w:val="17"/>
              </w:rPr>
              <w:t>151.0.7922.34, patched Network Service / HostResolver integration</w:t>
            </w:r>
          </w:p>
        </w:tc>
      </w:tr>
      <w:tr>
        <w:trPr>
          <w:cantSplit/>
        </w:trPr>
        <w:tc>
          <w:tcPr>
            <w:tcW w:type="dxa" w:w="2835"/>
            <w:vAlign w:val="top"/>
            <w:tcMar>
              <w:top w:w="70" w:type="dxa"/>
              <w:start w:w="90" w:type="dxa"/>
              <w:bottom w:w="70" w:type="dxa"/>
              <w:end w:w="90" w:type="dxa"/>
            </w:tcMar>
          </w:tcPr>
          <w:p>
            <w:pPr>
              <w:spacing w:after="20"/>
            </w:pPr>
            <w:r>
              <w:rPr>
                <w:sz w:val="17"/>
              </w:rPr>
              <w:t>Docker network</w:t>
            </w:r>
          </w:p>
        </w:tc>
        <w:tc>
          <w:tcPr>
            <w:tcW w:type="dxa" w:w="6236"/>
            <w:vAlign w:val="top"/>
            <w:tcMar>
              <w:top w:w="70" w:type="dxa"/>
              <w:start w:w="90" w:type="dxa"/>
              <w:bottom w:w="70" w:type="dxa"/>
              <w:end w:w="90" w:type="dxa"/>
            </w:tcMar>
          </w:tcPr>
          <w:p>
            <w:pPr>
              <w:spacing w:after="20"/>
            </w:pPr>
            <w:r>
              <w:rPr>
                <w:sz w:val="17"/>
              </w:rPr>
              <w:t>dns-service-sync-net (172.18.0.0/16)</w:t>
            </w:r>
          </w:p>
        </w:tc>
      </w:tr>
      <w:tr>
        <w:trPr>
          <w:cantSplit/>
        </w:trPr>
        <w:tc>
          <w:tcPr>
            <w:tcW w:type="dxa" w:w="2835"/>
            <w:vAlign w:val="top"/>
            <w:tcMar>
              <w:top w:w="70" w:type="dxa"/>
              <w:start w:w="90" w:type="dxa"/>
              <w:bottom w:w="70" w:type="dxa"/>
              <w:end w:w="90" w:type="dxa"/>
            </w:tcMar>
          </w:tcPr>
          <w:p>
            <w:pPr>
              <w:spacing w:after="20"/>
            </w:pPr>
            <w:r>
              <w:rPr>
                <w:sz w:val="17"/>
              </w:rPr>
              <w:t>Authority</w:t>
            </w:r>
          </w:p>
        </w:tc>
        <w:tc>
          <w:tcPr>
            <w:tcW w:type="dxa" w:w="6236"/>
            <w:vAlign w:val="top"/>
            <w:tcMar>
              <w:top w:w="70" w:type="dxa"/>
              <w:start w:w="90" w:type="dxa"/>
              <w:bottom w:w="70" w:type="dxa"/>
              <w:end w:w="90" w:type="dxa"/>
            </w:tcMar>
          </w:tcPr>
          <w:p>
            <w:pPr>
              <w:spacing w:after="20"/>
            </w:pPr>
            <w:r>
              <w:rPr>
                <w:sz w:val="17"/>
              </w:rPr>
              <w:t>172.18.0.54</w:t>
            </w:r>
          </w:p>
        </w:tc>
      </w:tr>
      <w:tr>
        <w:trPr>
          <w:cantSplit/>
        </w:trPr>
        <w:tc>
          <w:tcPr>
            <w:tcW w:type="dxa" w:w="2835"/>
            <w:vAlign w:val="top"/>
            <w:tcMar>
              <w:top w:w="70" w:type="dxa"/>
              <w:start w:w="90" w:type="dxa"/>
              <w:bottom w:w="70" w:type="dxa"/>
              <w:end w:w="90" w:type="dxa"/>
            </w:tcMar>
          </w:tcPr>
          <w:p>
            <w:pPr>
              <w:spacing w:after="20"/>
            </w:pPr>
            <w:r>
              <w:rPr>
                <w:sz w:val="17"/>
              </w:rPr>
              <w:t>Secure DoH</w:t>
            </w:r>
          </w:p>
        </w:tc>
        <w:tc>
          <w:tcPr>
            <w:tcW w:type="dxa" w:w="6236"/>
            <w:vAlign w:val="top"/>
            <w:tcMar>
              <w:top w:w="70" w:type="dxa"/>
              <w:start w:w="90" w:type="dxa"/>
              <w:bottom w:w="70" w:type="dxa"/>
              <w:end w:w="90" w:type="dxa"/>
            </w:tcMar>
          </w:tcPr>
          <w:p>
            <w:pPr>
              <w:spacing w:after="20"/>
            </w:pPr>
            <w:r>
              <w:rPr>
                <w:sz w:val="17"/>
              </w:rPr>
              <w:t>172.18.0.55</w:t>
            </w:r>
          </w:p>
        </w:tc>
      </w:tr>
      <w:tr>
        <w:trPr>
          <w:cantSplit/>
        </w:trPr>
        <w:tc>
          <w:tcPr>
            <w:tcW w:type="dxa" w:w="2835"/>
            <w:vAlign w:val="top"/>
            <w:tcMar>
              <w:top w:w="70" w:type="dxa"/>
              <w:start w:w="90" w:type="dxa"/>
              <w:bottom w:w="70" w:type="dxa"/>
              <w:end w:w="90" w:type="dxa"/>
            </w:tcMar>
          </w:tcPr>
          <w:p>
            <w:pPr>
              <w:spacing w:after="20"/>
            </w:pPr>
            <w:r>
              <w:rPr>
                <w:sz w:val="17"/>
              </w:rPr>
              <w:t>Normal H3 endpoint</w:t>
            </w:r>
          </w:p>
        </w:tc>
        <w:tc>
          <w:tcPr>
            <w:tcW w:type="dxa" w:w="6236"/>
            <w:vAlign w:val="top"/>
            <w:tcMar>
              <w:top w:w="70" w:type="dxa"/>
              <w:start w:w="90" w:type="dxa"/>
              <w:bottom w:w="70" w:type="dxa"/>
              <w:end w:w="90" w:type="dxa"/>
            </w:tcMar>
          </w:tcPr>
          <w:p>
            <w:pPr>
              <w:spacing w:after="20"/>
            </w:pPr>
            <w:r>
              <w:rPr>
                <w:sz w:val="17"/>
              </w:rPr>
              <w:t>172.18.0.61</w:t>
            </w:r>
          </w:p>
        </w:tc>
      </w:tr>
      <w:tr>
        <w:trPr>
          <w:cantSplit/>
        </w:trPr>
        <w:tc>
          <w:tcPr>
            <w:tcW w:type="dxa" w:w="2835"/>
            <w:vAlign w:val="top"/>
            <w:tcMar>
              <w:top w:w="70" w:type="dxa"/>
              <w:start w:w="90" w:type="dxa"/>
              <w:bottom w:w="70" w:type="dxa"/>
              <w:end w:w="90" w:type="dxa"/>
            </w:tcMar>
          </w:tcPr>
          <w:p>
            <w:pPr>
              <w:spacing w:after="20"/>
            </w:pPr>
            <w:r>
              <w:rPr>
                <w:sz w:val="17"/>
              </w:rPr>
              <w:t>Cutover endpoint</w:t>
            </w:r>
          </w:p>
        </w:tc>
        <w:tc>
          <w:tcPr>
            <w:tcW w:type="dxa" w:w="6236"/>
            <w:vAlign w:val="top"/>
            <w:tcMar>
              <w:top w:w="70" w:type="dxa"/>
              <w:start w:w="90" w:type="dxa"/>
              <w:bottom w:w="70" w:type="dxa"/>
              <w:end w:w="90" w:type="dxa"/>
            </w:tcMar>
          </w:tcPr>
          <w:p>
            <w:pPr>
              <w:spacing w:after="20"/>
            </w:pPr>
            <w:r>
              <w:rPr>
                <w:sz w:val="17"/>
              </w:rPr>
              <w:t>172.18.0.12</w:t>
            </w:r>
          </w:p>
        </w:tc>
      </w:tr>
      <w:tr>
        <w:trPr>
          <w:cantSplit/>
        </w:trPr>
        <w:tc>
          <w:tcPr>
            <w:tcW w:type="dxa" w:w="2835"/>
            <w:vAlign w:val="top"/>
            <w:tcMar>
              <w:top w:w="70" w:type="dxa"/>
              <w:start w:w="90" w:type="dxa"/>
              <w:bottom w:w="70" w:type="dxa"/>
              <w:end w:w="90" w:type="dxa"/>
            </w:tcMar>
          </w:tcPr>
          <w:p>
            <w:pPr>
              <w:spacing w:after="20"/>
            </w:pPr>
            <w:r>
              <w:rPr>
                <w:sz w:val="17"/>
              </w:rPr>
              <w:t>Classic Unbound baseline</w:t>
            </w:r>
          </w:p>
        </w:tc>
        <w:tc>
          <w:tcPr>
            <w:tcW w:type="dxa" w:w="6236"/>
            <w:vAlign w:val="top"/>
            <w:tcMar>
              <w:top w:w="70" w:type="dxa"/>
              <w:start w:w="90" w:type="dxa"/>
              <w:bottom w:w="70" w:type="dxa"/>
              <w:end w:w="90" w:type="dxa"/>
            </w:tcMar>
          </w:tcPr>
          <w:p>
            <w:pPr>
              <w:spacing w:after="20"/>
            </w:pPr>
            <w:r>
              <w:rPr>
                <w:sz w:val="17"/>
              </w:rPr>
              <w:t>172.18.0.2</w:t>
            </w:r>
          </w:p>
        </w:tc>
      </w:tr>
      <w:tr>
        <w:trPr>
          <w:cantSplit/>
        </w:trPr>
        <w:tc>
          <w:tcPr>
            <w:tcW w:type="dxa" w:w="2835"/>
            <w:vAlign w:val="top"/>
            <w:tcMar>
              <w:top w:w="70" w:type="dxa"/>
              <w:start w:w="90" w:type="dxa"/>
              <w:bottom w:w="70" w:type="dxa"/>
              <w:end w:w="90" w:type="dxa"/>
            </w:tcMar>
          </w:tcPr>
          <w:p>
            <w:pPr>
              <w:spacing w:after="20"/>
            </w:pPr>
            <w:r>
              <w:rPr>
                <w:sz w:val="17"/>
              </w:rPr>
              <w:t>State transition</w:t>
            </w:r>
          </w:p>
        </w:tc>
        <w:tc>
          <w:tcPr>
            <w:tcW w:type="dxa" w:w="6236"/>
            <w:vAlign w:val="top"/>
            <w:tcMar>
              <w:top w:w="70" w:type="dxa"/>
              <w:start w:w="90" w:type="dxa"/>
              <w:bottom w:w="70" w:type="dxa"/>
              <w:end w:w="90" w:type="dxa"/>
            </w:tcMar>
          </w:tcPr>
          <w:p>
            <w:pPr>
              <w:spacing w:after="20"/>
            </w:pPr>
            <w:r>
              <w:rPr>
                <w:sz w:val="17"/>
              </w:rPr>
              <w:t>Gen100: .61 -&gt; signed Delta -&gt; Gen101: .12</w:t>
            </w:r>
          </w:p>
        </w:tc>
      </w:tr>
    </w:tbl>
    <w:p>
      <w:pPr>
        <w:spacing w:after="0"/>
      </w:pPr>
    </w:p>
    <w:p>
      <w:pPr>
        <w:pStyle w:val="ListBullet"/>
        <w:spacing w:after="40"/>
      </w:pPr>
      <w:r>
        <w:t>FreshnessStateStore instantiated per NetworkContext and partitioned by Network Anonymization Key.</w:t>
      </w:r>
    </w:p>
    <w:p>
      <w:pPr>
        <w:pStyle w:val="ListBullet"/>
        <w:spacing w:after="40"/>
      </w:pPr>
      <w:r>
        <w:t>Native deterministic CBOR cursor emitted on outgoing Chromium requests.</w:t>
      </w:r>
    </w:p>
    <w:p>
      <w:pPr>
        <w:pStyle w:val="ListBullet"/>
        <w:spacing w:after="40"/>
      </w:pPr>
      <w:r>
        <w:t>DNSSEC-authenticated discovery fields included service_id, admission_context, root_epoch and root key material.</w:t>
      </w:r>
    </w:p>
    <w:p>
      <w:pPr>
        <w:pStyle w:val="ListBullet"/>
        <w:spacing w:after="40"/>
      </w:pPr>
      <w:r>
        <w:t>Generic Snapshot/Checkpoint/Delta/ResyncRequired processing implemented, including state digest and lifecycle checks.</w:t>
      </w:r>
    </w:p>
    <w:p>
      <w:pPr>
        <w:pStyle w:val="ListBullet"/>
        <w:spacing w:after="40"/>
      </w:pPr>
      <w:r>
        <w:t>Committed DNS/Freshness state was integrated into Chromium resolver/cache state rather than only observed in an application script.</w:t>
      </w:r>
    </w:p>
    <w:p>
      <w:pPr>
        <w:pStyle w:val="Heading1"/>
      </w:pPr>
      <w:r>
        <w:t>7. Hard Zero-DNS Endpoint Cutover</w:t>
      </w:r>
    </w:p>
    <w:p>
      <w:r>
        <w:drawing>
          <wp:inline xmlns:a="http://schemas.openxmlformats.org/drawingml/2006/main" xmlns:pic="http://schemas.openxmlformats.org/drawingml/2006/picture">
            <wp:extent cx="5832000" cy="2943996"/>
            <wp:docPr id="2" name="Picture 2"/>
            <wp:cNvGraphicFramePr>
              <a:graphicFrameLocks noChangeAspect="1"/>
            </wp:cNvGraphicFramePr>
            <a:graphic>
              <a:graphicData uri="http://schemas.openxmlformats.org/drawingml/2006/picture">
                <pic:pic>
                  <pic:nvPicPr>
                    <pic:cNvPr id="0" name="dnsfresh_cutover.png"/>
                    <pic:cNvPicPr/>
                  </pic:nvPicPr>
                  <pic:blipFill>
                    <a:blip r:embed="rId12"/>
                    <a:stretch>
                      <a:fillRect/>
                    </a:stretch>
                  </pic:blipFill>
                  <pic:spPr>
                    <a:xfrm>
                      <a:off x="0" y="0"/>
                      <a:ext cx="5832000" cy="2943996"/>
                    </a:xfrm>
                    <a:prstGeom prst="rect"/>
                  </pic:spPr>
                </pic:pic>
              </a:graphicData>
            </a:graphic>
          </wp:inline>
        </w:drawing>
      </w:r>
    </w:p>
    <w:p>
      <w:pPr>
        <w:jc w:val="center"/>
      </w:pPr>
      <w:r>
        <w:rPr>
          <w:i/>
          <w:sz w:val="16"/>
        </w:rPr>
        <w:t>Figure 2. Canonical hard cutover proof. The resolver cache was deliberately discarded after Gen101 commit; the old endpoint was physically removed before the next request.</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4535"/>
            <w:shd w:fill="D9E2F3"/>
            <w:vAlign w:val="center"/>
            <w:tcMar>
              <w:top w:w="70" w:type="dxa"/>
              <w:start w:w="90" w:type="dxa"/>
              <w:bottom w:w="70" w:type="dxa"/>
              <w:end w:w="90" w:type="dxa"/>
            </w:tcMar>
          </w:tcPr>
          <w:p>
            <w:r>
              <w:rPr>
                <w:b/>
                <w:sz w:val="17"/>
              </w:rPr>
              <w:t>Checkpoint</w:t>
            </w:r>
          </w:p>
        </w:tc>
        <w:tc>
          <w:tcPr>
            <w:tcW w:type="dxa" w:w="4535"/>
            <w:shd w:fill="D9E2F3"/>
            <w:vAlign w:val="center"/>
            <w:tcMar>
              <w:top w:w="70" w:type="dxa"/>
              <w:start w:w="90" w:type="dxa"/>
              <w:bottom w:w="70" w:type="dxa"/>
              <w:end w:w="90" w:type="dxa"/>
            </w:tcMar>
          </w:tcPr>
          <w:p>
            <w:r>
              <w:rPr>
                <w:b/>
                <w:sz w:val="17"/>
              </w:rPr>
              <w:t>Observed result</w:t>
            </w:r>
          </w:p>
        </w:tc>
      </w:tr>
      <w:tr>
        <w:trPr>
          <w:cantSplit/>
        </w:trPr>
        <w:tc>
          <w:tcPr>
            <w:tcW w:type="dxa" w:w="4535"/>
            <w:vAlign w:val="top"/>
            <w:tcMar>
              <w:top w:w="70" w:type="dxa"/>
              <w:start w:w="90" w:type="dxa"/>
              <w:bottom w:w="70" w:type="dxa"/>
              <w:end w:w="90" w:type="dxa"/>
            </w:tcMar>
          </w:tcPr>
          <w:p>
            <w:pPr>
              <w:spacing w:after="20"/>
            </w:pPr>
            <w:r>
              <w:rPr>
                <w:sz w:val="17"/>
              </w:rPr>
              <w:t>Secure DNSSEC discovery</w:t>
            </w:r>
          </w:p>
        </w:tc>
        <w:tc>
          <w:tcPr>
            <w:tcW w:type="dxa" w:w="4535"/>
            <w:vAlign w:val="top"/>
            <w:tcMar>
              <w:top w:w="70" w:type="dxa"/>
              <w:start w:w="90" w:type="dxa"/>
              <w:bottom w:w="70" w:type="dxa"/>
              <w:end w:w="90" w:type="dxa"/>
            </w:tcMar>
          </w:tcPr>
          <w:p>
            <w:pPr>
              <w:spacing w:after="20"/>
            </w:pPr>
            <w:r>
              <w:rPr>
                <w:sz w:val="17"/>
              </w:rPr>
              <w:t>PASS</w:t>
            </w:r>
          </w:p>
        </w:tc>
      </w:tr>
      <w:tr>
        <w:trPr>
          <w:cantSplit/>
        </w:trPr>
        <w:tc>
          <w:tcPr>
            <w:tcW w:type="dxa" w:w="4535"/>
            <w:vAlign w:val="top"/>
            <w:tcMar>
              <w:top w:w="70" w:type="dxa"/>
              <w:start w:w="90" w:type="dxa"/>
              <w:bottom w:w="70" w:type="dxa"/>
              <w:end w:w="90" w:type="dxa"/>
            </w:tcMar>
          </w:tcPr>
          <w:p>
            <w:pPr>
              <w:spacing w:after="20"/>
            </w:pPr>
            <w:r>
              <w:rPr>
                <w:sz w:val="17"/>
              </w:rPr>
              <w:t>Snapshot Gen100 -&gt; 172.18.0.61</w:t>
            </w:r>
          </w:p>
        </w:tc>
        <w:tc>
          <w:tcPr>
            <w:tcW w:type="dxa" w:w="4535"/>
            <w:vAlign w:val="top"/>
            <w:tcMar>
              <w:top w:w="70" w:type="dxa"/>
              <w:start w:w="90" w:type="dxa"/>
              <w:bottom w:w="70" w:type="dxa"/>
              <w:end w:w="90" w:type="dxa"/>
            </w:tcMar>
          </w:tcPr>
          <w:p>
            <w:pPr>
              <w:spacing w:after="20"/>
            </w:pPr>
            <w:r>
              <w:rPr>
                <w:sz w:val="17"/>
              </w:rPr>
              <w:t>PASS</w:t>
            </w:r>
          </w:p>
        </w:tc>
      </w:tr>
      <w:tr>
        <w:trPr>
          <w:cantSplit/>
        </w:trPr>
        <w:tc>
          <w:tcPr>
            <w:tcW w:type="dxa" w:w="4535"/>
            <w:vAlign w:val="top"/>
            <w:tcMar>
              <w:top w:w="70" w:type="dxa"/>
              <w:start w:w="90" w:type="dxa"/>
              <w:bottom w:w="70" w:type="dxa"/>
              <w:end w:w="90" w:type="dxa"/>
            </w:tcMar>
          </w:tcPr>
          <w:p>
            <w:pPr>
              <w:spacing w:after="20"/>
            </w:pPr>
            <w:r>
              <w:rPr>
                <w:sz w:val="17"/>
              </w:rPr>
              <w:t>Delta Gen100-&gt;101 -&gt; 172.18.0.12 committed before cutover</w:t>
            </w:r>
          </w:p>
        </w:tc>
        <w:tc>
          <w:tcPr>
            <w:tcW w:type="dxa" w:w="4535"/>
            <w:vAlign w:val="top"/>
            <w:tcMar>
              <w:top w:w="70" w:type="dxa"/>
              <w:start w:w="90" w:type="dxa"/>
              <w:bottom w:w="70" w:type="dxa"/>
              <w:end w:w="90" w:type="dxa"/>
            </w:tcMar>
          </w:tcPr>
          <w:p>
            <w:pPr>
              <w:spacing w:after="20"/>
            </w:pPr>
            <w:r>
              <w:rPr>
                <w:sz w:val="17"/>
              </w:rPr>
              <w:t>PASS</w:t>
            </w:r>
          </w:p>
        </w:tc>
      </w:tr>
      <w:tr>
        <w:trPr>
          <w:cantSplit/>
        </w:trPr>
        <w:tc>
          <w:tcPr>
            <w:tcW w:type="dxa" w:w="4535"/>
            <w:vAlign w:val="top"/>
            <w:tcMar>
              <w:top w:w="70" w:type="dxa"/>
              <w:start w:w="90" w:type="dxa"/>
              <w:bottom w:w="70" w:type="dxa"/>
              <w:end w:w="90" w:type="dxa"/>
            </w:tcMar>
          </w:tcPr>
          <w:p>
            <w:pPr>
              <w:spacing w:after="20"/>
            </w:pPr>
            <w:r>
              <w:rPr>
                <w:sz w:val="17"/>
              </w:rPr>
              <w:t>Snapshot and Delta on same pre-cutover H3 connection</w:t>
            </w:r>
          </w:p>
        </w:tc>
        <w:tc>
          <w:tcPr>
            <w:tcW w:type="dxa" w:w="4535"/>
            <w:vAlign w:val="top"/>
            <w:tcMar>
              <w:top w:w="70" w:type="dxa"/>
              <w:start w:w="90" w:type="dxa"/>
              <w:bottom w:w="70" w:type="dxa"/>
              <w:end w:w="90" w:type="dxa"/>
            </w:tcMar>
          </w:tcPr>
          <w:p>
            <w:pPr>
              <w:spacing w:after="20"/>
            </w:pPr>
            <w:r>
              <w:rPr>
                <w:sz w:val="17"/>
              </w:rPr>
              <w:t>PASS</w:t>
            </w:r>
          </w:p>
        </w:tc>
      </w:tr>
      <w:tr>
        <w:trPr>
          <w:cantSplit/>
        </w:trPr>
        <w:tc>
          <w:tcPr>
            <w:tcW w:type="dxa" w:w="4535"/>
            <w:vAlign w:val="top"/>
            <w:tcMar>
              <w:top w:w="70" w:type="dxa"/>
              <w:start w:w="90" w:type="dxa"/>
              <w:bottom w:w="70" w:type="dxa"/>
              <w:end w:w="90" w:type="dxa"/>
            </w:tcMar>
          </w:tcPr>
          <w:p>
            <w:pPr>
              <w:spacing w:after="20"/>
            </w:pPr>
            <w:r>
              <w:rPr>
                <w:sz w:val="17"/>
              </w:rPr>
              <w:t>Old endpoint 172.18.0.61 physically removed</w:t>
            </w:r>
          </w:p>
        </w:tc>
        <w:tc>
          <w:tcPr>
            <w:tcW w:type="dxa" w:w="4535"/>
            <w:vAlign w:val="top"/>
            <w:tcMar>
              <w:top w:w="70" w:type="dxa"/>
              <w:start w:w="90" w:type="dxa"/>
              <w:bottom w:w="70" w:type="dxa"/>
              <w:end w:w="90" w:type="dxa"/>
            </w:tcMar>
          </w:tcPr>
          <w:p>
            <w:pPr>
              <w:spacing w:after="20"/>
            </w:pPr>
            <w:r>
              <w:rPr>
                <w:sz w:val="17"/>
              </w:rPr>
              <w:t>PASS</w:t>
            </w:r>
          </w:p>
        </w:tc>
      </w:tr>
      <w:tr>
        <w:trPr>
          <w:cantSplit/>
        </w:trPr>
        <w:tc>
          <w:tcPr>
            <w:tcW w:type="dxa" w:w="4535"/>
            <w:vAlign w:val="top"/>
            <w:tcMar>
              <w:top w:w="70" w:type="dxa"/>
              <w:start w:w="90" w:type="dxa"/>
              <w:bottom w:w="70" w:type="dxa"/>
              <w:end w:w="90" w:type="dxa"/>
            </w:tcMar>
          </w:tcPr>
          <w:p>
            <w:pPr>
              <w:spacing w:after="20"/>
            </w:pPr>
            <w:r>
              <w:rPr>
                <w:sz w:val="17"/>
              </w:rPr>
              <w:t>New endpoint 172.18.0.12 used</w:t>
            </w:r>
          </w:p>
        </w:tc>
        <w:tc>
          <w:tcPr>
            <w:tcW w:type="dxa" w:w="4535"/>
            <w:vAlign w:val="top"/>
            <w:tcMar>
              <w:top w:w="70" w:type="dxa"/>
              <w:start w:w="90" w:type="dxa"/>
              <w:bottom w:w="70" w:type="dxa"/>
              <w:end w:w="90" w:type="dxa"/>
            </w:tcMar>
          </w:tcPr>
          <w:p>
            <w:pPr>
              <w:spacing w:after="20"/>
            </w:pPr>
            <w:r>
              <w:rPr>
                <w:sz w:val="17"/>
              </w:rPr>
              <w:t>PASS</w:t>
            </w:r>
          </w:p>
        </w:tc>
      </w:tr>
      <w:tr>
        <w:trPr>
          <w:cantSplit/>
        </w:trPr>
        <w:tc>
          <w:tcPr>
            <w:tcW w:type="dxa" w:w="4535"/>
            <w:vAlign w:val="top"/>
            <w:tcMar>
              <w:top w:w="70" w:type="dxa"/>
              <w:start w:w="90" w:type="dxa"/>
              <w:bottom w:w="70" w:type="dxa"/>
              <w:end w:w="90" w:type="dxa"/>
            </w:tcMar>
          </w:tcPr>
          <w:p>
            <w:pPr>
              <w:spacing w:after="20"/>
            </w:pPr>
            <w:r>
              <w:rPr>
                <w:sz w:val="17"/>
              </w:rPr>
              <w:t>Post-cutover HTTP status</w:t>
            </w:r>
          </w:p>
        </w:tc>
        <w:tc>
          <w:tcPr>
            <w:tcW w:type="dxa" w:w="4535"/>
            <w:vAlign w:val="top"/>
            <w:tcMar>
              <w:top w:w="70" w:type="dxa"/>
              <w:start w:w="90" w:type="dxa"/>
              <w:bottom w:w="70" w:type="dxa"/>
              <w:end w:w="90" w:type="dxa"/>
            </w:tcMar>
          </w:tcPr>
          <w:p>
            <w:pPr>
              <w:spacing w:after="20"/>
            </w:pPr>
            <w:r>
              <w:rPr>
                <w:sz w:val="17"/>
              </w:rPr>
              <w:t>200</w:t>
            </w:r>
          </w:p>
        </w:tc>
      </w:tr>
      <w:tr>
        <w:trPr>
          <w:cantSplit/>
        </w:trPr>
        <w:tc>
          <w:tcPr>
            <w:tcW w:type="dxa" w:w="4535"/>
            <w:vAlign w:val="top"/>
            <w:tcMar>
              <w:top w:w="70" w:type="dxa"/>
              <w:start w:w="90" w:type="dxa"/>
              <w:bottom w:w="70" w:type="dxa"/>
              <w:end w:w="90" w:type="dxa"/>
            </w:tcMar>
          </w:tcPr>
          <w:p>
            <w:pPr>
              <w:spacing w:after="20"/>
            </w:pPr>
            <w:r>
              <w:rPr>
                <w:sz w:val="17"/>
              </w:rPr>
              <w:t>Authority queries for a.service.test during cutover</w:t>
            </w:r>
          </w:p>
        </w:tc>
        <w:tc>
          <w:tcPr>
            <w:tcW w:type="dxa" w:w="4535"/>
            <w:vAlign w:val="top"/>
            <w:tcMar>
              <w:top w:w="70" w:type="dxa"/>
              <w:start w:w="90" w:type="dxa"/>
              <w:bottom w:w="70" w:type="dxa"/>
              <w:end w:w="90" w:type="dxa"/>
            </w:tcMar>
          </w:tcPr>
          <w:p>
            <w:pPr>
              <w:spacing w:after="20"/>
            </w:pPr>
            <w:r>
              <w:rPr>
                <w:sz w:val="17"/>
              </w:rPr>
              <w:t>0</w:t>
            </w:r>
          </w:p>
        </w:tc>
      </w:tr>
      <w:tr>
        <w:trPr>
          <w:cantSplit/>
        </w:trPr>
        <w:tc>
          <w:tcPr>
            <w:tcW w:type="dxa" w:w="4535"/>
            <w:vAlign w:val="top"/>
            <w:tcMar>
              <w:top w:w="70" w:type="dxa"/>
              <w:start w:w="90" w:type="dxa"/>
              <w:bottom w:w="70" w:type="dxa"/>
              <w:end w:w="90" w:type="dxa"/>
            </w:tcMar>
          </w:tcPr>
          <w:p>
            <w:pPr>
              <w:spacing w:after="20"/>
            </w:pPr>
            <w:r>
              <w:rPr>
                <w:sz w:val="17"/>
              </w:rPr>
              <w:t>Observed post-cutover page.goto time</w:t>
            </w:r>
          </w:p>
        </w:tc>
        <w:tc>
          <w:tcPr>
            <w:tcW w:type="dxa" w:w="4535"/>
            <w:vAlign w:val="top"/>
            <w:tcMar>
              <w:top w:w="70" w:type="dxa"/>
              <w:start w:w="90" w:type="dxa"/>
              <w:bottom w:w="70" w:type="dxa"/>
              <w:end w:w="90" w:type="dxa"/>
            </w:tcMar>
          </w:tcPr>
          <w:p>
            <w:pPr>
              <w:spacing w:after="20"/>
            </w:pPr>
            <w:r>
              <w:rPr>
                <w:sz w:val="17"/>
              </w:rPr>
              <w:t>33.738 ms</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EEF2F6"/>
            <w:tcMar>
              <w:top w:w="120" w:type="dxa"/>
              <w:start w:w="140" w:type="dxa"/>
              <w:bottom w:w="120" w:type="dxa"/>
              <w:end w:w="140" w:type="dxa"/>
            </w:tcMar>
          </w:tcPr>
          <w:p>
            <w:pPr>
              <w:spacing w:after="80"/>
            </w:pPr>
            <w:r>
              <w:rPr>
                <w:b/>
                <w:sz w:val="23"/>
              </w:rPr>
              <w:t>Supported claim</w:t>
            </w:r>
          </w:p>
          <w:p>
            <w:pPr>
              <w:spacing w:after="0" w:line="252" w:lineRule="auto"/>
            </w:pPr>
            <w:r>
              <w:t>In this isolated Chromium/H3/DNSSEC lab, the browser learned a replacement endpoint through signed natural application traffic before the old endpoint disappeared. After the old endpoint was removed, the next request reached the new endpoint successfully without a DNS query for the target name during the cutover.</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EEF2F6"/>
            <w:tcMar>
              <w:top w:w="120" w:type="dxa"/>
              <w:start w:w="140" w:type="dxa"/>
              <w:bottom w:w="120" w:type="dxa"/>
              <w:end w:w="140" w:type="dxa"/>
            </w:tcMar>
          </w:tcPr>
          <w:p>
            <w:pPr>
              <w:spacing w:after="80"/>
            </w:pPr>
            <w:r>
              <w:rPr>
                <w:b/>
                <w:sz w:val="23"/>
              </w:rPr>
              <w:t>Critical boundary</w:t>
            </w:r>
          </w:p>
          <w:p>
            <w:pPr>
              <w:spacing w:after="0" w:line="252" w:lineRule="auto"/>
            </w:pPr>
            <w:r>
              <w:t>33.738 ms is the measured Freshness post-cutover request time, not a measured latency advantage over Classic DNS. The attempted dedicated Classic hard-cutover harness was not completed and is intentionally excluded from quantitative claims.</w:t>
            </w:r>
          </w:p>
        </w:tc>
      </w:tr>
    </w:tbl>
    <w:p>
      <w:pPr>
        <w:spacing w:after="0"/>
      </w:pPr>
    </w:p>
    <w:p>
      <w:pPr>
        <w:pStyle w:val="Heading1"/>
      </w:pPr>
      <w:r>
        <w:t>8. Quantitative Results</w:t>
      </w:r>
    </w:p>
    <w:p>
      <w:pPr>
        <w:pStyle w:val="Heading2"/>
      </w:pPr>
      <w:r>
        <w:t>8.1 Gate 3B: RTT behavior</w:t>
      </w:r>
    </w:p>
    <w:p>
      <w:r>
        <w:drawing>
          <wp:inline xmlns:a="http://schemas.openxmlformats.org/drawingml/2006/main" xmlns:pic="http://schemas.openxmlformats.org/drawingml/2006/picture">
            <wp:extent cx="5580000" cy="2939725"/>
            <wp:docPr id="3" name="Picture 3"/>
            <wp:cNvGraphicFramePr>
              <a:graphicFrameLocks noChangeAspect="1"/>
            </wp:cNvGraphicFramePr>
            <a:graphic>
              <a:graphicData uri="http://schemas.openxmlformats.org/drawingml/2006/picture">
                <pic:pic>
                  <pic:nvPicPr>
                    <pic:cNvPr id="0" name="dnsfresh_gate3b_latency.png"/>
                    <pic:cNvPicPr/>
                  </pic:nvPicPr>
                  <pic:blipFill>
                    <a:blip r:embed="rId13"/>
                    <a:stretch>
                      <a:fillRect/>
                    </a:stretch>
                  </pic:blipFill>
                  <pic:spPr>
                    <a:xfrm>
                      <a:off x="0" y="0"/>
                      <a:ext cx="5580000" cy="2939725"/>
                    </a:xfrm>
                    <a:prstGeom prst="rect"/>
                  </pic:spPr>
                </pic:pic>
              </a:graphicData>
            </a:graphic>
          </wp:inline>
        </w:drawing>
      </w:r>
    </w:p>
    <w:p>
      <w:pPr>
        <w:jc w:val="center"/>
      </w:pPr>
      <w:r>
        <w:rPr>
          <w:i/>
          <w:sz w:val="16"/>
        </w:rPr>
        <w:t>Figure 3. Controlled Gate-3B measurement. The in-band value is marginal work on an application path that already pays the application RTT; DNS is a separate query path. This is not an end-to-end Chromium Classic-vs-Freshness comparison.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417"/>
            <w:shd w:fill="D9E2F3"/>
            <w:vAlign w:val="center"/>
            <w:tcMar>
              <w:top w:w="70" w:type="dxa"/>
              <w:start w:w="90" w:type="dxa"/>
              <w:bottom w:w="70" w:type="dxa"/>
              <w:end w:w="90" w:type="dxa"/>
            </w:tcMar>
          </w:tcPr>
          <w:p>
            <w:r>
              <w:rPr>
                <w:b/>
                <w:sz w:val="15"/>
              </w:rPr>
              <w:t>Configured RTT</w:t>
            </w:r>
          </w:p>
        </w:tc>
        <w:tc>
          <w:tcPr>
            <w:tcW w:type="dxa" w:w="1531"/>
            <w:shd w:fill="D9E2F3"/>
            <w:vAlign w:val="center"/>
            <w:tcMar>
              <w:top w:w="70" w:type="dxa"/>
              <w:start w:w="90" w:type="dxa"/>
              <w:bottom w:w="70" w:type="dxa"/>
              <w:end w:w="90" w:type="dxa"/>
            </w:tcMar>
          </w:tcPr>
          <w:p>
            <w:r>
              <w:rPr>
                <w:b/>
                <w:sz w:val="15"/>
              </w:rPr>
              <w:t>In-band normal median</w:t>
            </w:r>
          </w:p>
        </w:tc>
        <w:tc>
          <w:tcPr>
            <w:tcW w:type="dxa" w:w="1531"/>
            <w:shd w:fill="D9E2F3"/>
            <w:vAlign w:val="center"/>
            <w:tcMar>
              <w:top w:w="70" w:type="dxa"/>
              <w:start w:w="90" w:type="dxa"/>
              <w:bottom w:w="70" w:type="dxa"/>
              <w:end w:w="90" w:type="dxa"/>
            </w:tcMar>
          </w:tcPr>
          <w:p>
            <w:r>
              <w:rPr>
                <w:b/>
                <w:sz w:val="15"/>
              </w:rPr>
              <w:t>In-band update median</w:t>
            </w:r>
          </w:p>
        </w:tc>
        <w:tc>
          <w:tcPr>
            <w:tcW w:type="dxa" w:w="1361"/>
            <w:shd w:fill="D9E2F3"/>
            <w:vAlign w:val="center"/>
            <w:tcMar>
              <w:top w:w="70" w:type="dxa"/>
              <w:start w:w="90" w:type="dxa"/>
              <w:bottom w:w="70" w:type="dxa"/>
              <w:end w:w="90" w:type="dxa"/>
            </w:tcMar>
          </w:tcPr>
          <w:p>
            <w:r>
              <w:rPr>
                <w:b/>
                <w:sz w:val="15"/>
              </w:rPr>
              <w:t>Marginal median</w:t>
            </w:r>
          </w:p>
        </w:tc>
        <w:tc>
          <w:tcPr>
            <w:tcW w:type="dxa" w:w="1417"/>
            <w:shd w:fill="D9E2F3"/>
            <w:vAlign w:val="center"/>
            <w:tcMar>
              <w:top w:w="70" w:type="dxa"/>
              <w:start w:w="90" w:type="dxa"/>
              <w:bottom w:w="70" w:type="dxa"/>
              <w:end w:w="90" w:type="dxa"/>
            </w:tcMar>
          </w:tcPr>
          <w:p>
            <w:r>
              <w:rPr>
                <w:b/>
                <w:sz w:val="15"/>
              </w:rPr>
              <w:t>DNS median</w:t>
            </w:r>
          </w:p>
        </w:tc>
        <w:tc>
          <w:tcPr>
            <w:tcW w:type="dxa" w:w="1417"/>
            <w:shd w:fill="D9E2F3"/>
            <w:vAlign w:val="center"/>
            <w:tcMar>
              <w:top w:w="70" w:type="dxa"/>
              <w:start w:w="90" w:type="dxa"/>
              <w:bottom w:w="70" w:type="dxa"/>
              <w:end w:w="90" w:type="dxa"/>
            </w:tcMar>
          </w:tcPr>
          <w:p>
            <w:r>
              <w:rPr>
                <w:b/>
                <w:sz w:val="15"/>
              </w:rPr>
              <w:t>Push median</w:t>
            </w:r>
          </w:p>
        </w:tc>
      </w:tr>
      <w:tr>
        <w:trPr>
          <w:cantSplit/>
        </w:trPr>
        <w:tc>
          <w:tcPr>
            <w:tcW w:type="dxa" w:w="1417"/>
            <w:vAlign w:val="top"/>
            <w:tcMar>
              <w:top w:w="70" w:type="dxa"/>
              <w:start w:w="90" w:type="dxa"/>
              <w:bottom w:w="70" w:type="dxa"/>
              <w:end w:w="90" w:type="dxa"/>
            </w:tcMar>
          </w:tcPr>
          <w:p>
            <w:pPr>
              <w:spacing w:after="20"/>
            </w:pPr>
            <w:r>
              <w:rPr>
                <w:sz w:val="15"/>
              </w:rPr>
              <w:t>0 ms</w:t>
            </w:r>
          </w:p>
        </w:tc>
        <w:tc>
          <w:tcPr>
            <w:tcW w:type="dxa" w:w="1531"/>
            <w:vAlign w:val="top"/>
            <w:tcMar>
              <w:top w:w="70" w:type="dxa"/>
              <w:start w:w="90" w:type="dxa"/>
              <w:bottom w:w="70" w:type="dxa"/>
              <w:end w:w="90" w:type="dxa"/>
            </w:tcMar>
          </w:tcPr>
          <w:p>
            <w:pPr>
              <w:spacing w:after="20"/>
            </w:pPr>
            <w:r>
              <w:rPr>
                <w:sz w:val="15"/>
              </w:rPr>
              <w:t>205.76 us</w:t>
            </w:r>
          </w:p>
        </w:tc>
        <w:tc>
          <w:tcPr>
            <w:tcW w:type="dxa" w:w="1531"/>
            <w:vAlign w:val="top"/>
            <w:tcMar>
              <w:top w:w="70" w:type="dxa"/>
              <w:start w:w="90" w:type="dxa"/>
              <w:bottom w:w="70" w:type="dxa"/>
              <w:end w:w="90" w:type="dxa"/>
            </w:tcMar>
          </w:tcPr>
          <w:p>
            <w:pPr>
              <w:spacing w:after="20"/>
            </w:pPr>
            <w:r>
              <w:rPr>
                <w:sz w:val="15"/>
              </w:rPr>
              <w:t>305.17 us</w:t>
            </w:r>
          </w:p>
        </w:tc>
        <w:tc>
          <w:tcPr>
            <w:tcW w:type="dxa" w:w="1361"/>
            <w:vAlign w:val="top"/>
            <w:tcMar>
              <w:top w:w="70" w:type="dxa"/>
              <w:start w:w="90" w:type="dxa"/>
              <w:bottom w:w="70" w:type="dxa"/>
              <w:end w:w="90" w:type="dxa"/>
            </w:tcMar>
          </w:tcPr>
          <w:p>
            <w:pPr>
              <w:spacing w:after="20"/>
            </w:pPr>
            <w:r>
              <w:rPr>
                <w:sz w:val="15"/>
              </w:rPr>
              <w:t>93.63 us</w:t>
            </w:r>
          </w:p>
        </w:tc>
        <w:tc>
          <w:tcPr>
            <w:tcW w:type="dxa" w:w="1417"/>
            <w:vAlign w:val="top"/>
            <w:tcMar>
              <w:top w:w="70" w:type="dxa"/>
              <w:start w:w="90" w:type="dxa"/>
              <w:bottom w:w="70" w:type="dxa"/>
              <w:end w:w="90" w:type="dxa"/>
            </w:tcMar>
          </w:tcPr>
          <w:p>
            <w:pPr>
              <w:spacing w:after="20"/>
            </w:pPr>
            <w:r>
              <w:rPr>
                <w:sz w:val="15"/>
              </w:rPr>
              <w:t>241.59 us</w:t>
            </w:r>
          </w:p>
        </w:tc>
        <w:tc>
          <w:tcPr>
            <w:tcW w:type="dxa" w:w="1417"/>
            <w:vAlign w:val="top"/>
            <w:tcMar>
              <w:top w:w="70" w:type="dxa"/>
              <w:start w:w="90" w:type="dxa"/>
              <w:bottom w:w="70" w:type="dxa"/>
              <w:end w:w="90" w:type="dxa"/>
            </w:tcMar>
          </w:tcPr>
          <w:p>
            <w:pPr>
              <w:spacing w:after="20"/>
            </w:pPr>
            <w:r>
              <w:rPr>
                <w:sz w:val="15"/>
              </w:rPr>
              <w:t>285.66 us</w:t>
            </w:r>
          </w:p>
        </w:tc>
      </w:tr>
      <w:tr>
        <w:trPr>
          <w:cantSplit/>
        </w:trPr>
        <w:tc>
          <w:tcPr>
            <w:tcW w:type="dxa" w:w="1417"/>
            <w:vAlign w:val="top"/>
            <w:tcMar>
              <w:top w:w="70" w:type="dxa"/>
              <w:start w:w="90" w:type="dxa"/>
              <w:bottom w:w="70" w:type="dxa"/>
              <w:end w:w="90" w:type="dxa"/>
            </w:tcMar>
          </w:tcPr>
          <w:p>
            <w:pPr>
              <w:spacing w:after="20"/>
            </w:pPr>
            <w:r>
              <w:rPr>
                <w:sz w:val="15"/>
              </w:rPr>
              <w:t>5 ms</w:t>
            </w:r>
          </w:p>
        </w:tc>
        <w:tc>
          <w:tcPr>
            <w:tcW w:type="dxa" w:w="1531"/>
            <w:vAlign w:val="top"/>
            <w:tcMar>
              <w:top w:w="70" w:type="dxa"/>
              <w:start w:w="90" w:type="dxa"/>
              <w:bottom w:w="70" w:type="dxa"/>
              <w:end w:w="90" w:type="dxa"/>
            </w:tcMar>
          </w:tcPr>
          <w:p>
            <w:pPr>
              <w:spacing w:after="20"/>
            </w:pPr>
            <w:r>
              <w:rPr>
                <w:sz w:val="15"/>
              </w:rPr>
              <w:t>5600.33 us</w:t>
            </w:r>
          </w:p>
        </w:tc>
        <w:tc>
          <w:tcPr>
            <w:tcW w:type="dxa" w:w="1531"/>
            <w:vAlign w:val="top"/>
            <w:tcMar>
              <w:top w:w="70" w:type="dxa"/>
              <w:start w:w="90" w:type="dxa"/>
              <w:bottom w:w="70" w:type="dxa"/>
              <w:end w:w="90" w:type="dxa"/>
            </w:tcMar>
          </w:tcPr>
          <w:p>
            <w:pPr>
              <w:spacing w:after="20"/>
            </w:pPr>
            <w:r>
              <w:rPr>
                <w:sz w:val="15"/>
              </w:rPr>
              <w:t>5834.60 us</w:t>
            </w:r>
          </w:p>
        </w:tc>
        <w:tc>
          <w:tcPr>
            <w:tcW w:type="dxa" w:w="1361"/>
            <w:vAlign w:val="top"/>
            <w:tcMar>
              <w:top w:w="70" w:type="dxa"/>
              <w:start w:w="90" w:type="dxa"/>
              <w:bottom w:w="70" w:type="dxa"/>
              <w:end w:w="90" w:type="dxa"/>
            </w:tcMar>
          </w:tcPr>
          <w:p>
            <w:pPr>
              <w:spacing w:after="20"/>
            </w:pPr>
            <w:r>
              <w:rPr>
                <w:sz w:val="15"/>
              </w:rPr>
              <w:t>232.26 us</w:t>
            </w:r>
          </w:p>
        </w:tc>
        <w:tc>
          <w:tcPr>
            <w:tcW w:type="dxa" w:w="1417"/>
            <w:vAlign w:val="top"/>
            <w:tcMar>
              <w:top w:w="70" w:type="dxa"/>
              <w:start w:w="90" w:type="dxa"/>
              <w:bottom w:w="70" w:type="dxa"/>
              <w:end w:w="90" w:type="dxa"/>
            </w:tcMar>
          </w:tcPr>
          <w:p>
            <w:pPr>
              <w:spacing w:after="20"/>
            </w:pPr>
            <w:r>
              <w:rPr>
                <w:sz w:val="15"/>
              </w:rPr>
              <w:t>5560.09 us</w:t>
            </w:r>
          </w:p>
        </w:tc>
        <w:tc>
          <w:tcPr>
            <w:tcW w:type="dxa" w:w="1417"/>
            <w:vAlign w:val="top"/>
            <w:tcMar>
              <w:top w:w="70" w:type="dxa"/>
              <w:start w:w="90" w:type="dxa"/>
              <w:bottom w:w="70" w:type="dxa"/>
              <w:end w:w="90" w:type="dxa"/>
            </w:tcMar>
          </w:tcPr>
          <w:p>
            <w:pPr>
              <w:spacing w:after="20"/>
            </w:pPr>
            <w:r>
              <w:rPr>
                <w:sz w:val="15"/>
              </w:rPr>
              <w:t>6096.60 us</w:t>
            </w:r>
          </w:p>
        </w:tc>
      </w:tr>
      <w:tr>
        <w:trPr>
          <w:cantSplit/>
        </w:trPr>
        <w:tc>
          <w:tcPr>
            <w:tcW w:type="dxa" w:w="1417"/>
            <w:vAlign w:val="top"/>
            <w:tcMar>
              <w:top w:w="70" w:type="dxa"/>
              <w:start w:w="90" w:type="dxa"/>
              <w:bottom w:w="70" w:type="dxa"/>
              <w:end w:w="90" w:type="dxa"/>
            </w:tcMar>
          </w:tcPr>
          <w:p>
            <w:pPr>
              <w:spacing w:after="20"/>
            </w:pPr>
            <w:r>
              <w:rPr>
                <w:sz w:val="15"/>
              </w:rPr>
              <w:t>20 ms</w:t>
            </w:r>
          </w:p>
        </w:tc>
        <w:tc>
          <w:tcPr>
            <w:tcW w:type="dxa" w:w="1531"/>
            <w:vAlign w:val="top"/>
            <w:tcMar>
              <w:top w:w="70" w:type="dxa"/>
              <w:start w:w="90" w:type="dxa"/>
              <w:bottom w:w="70" w:type="dxa"/>
              <w:end w:w="90" w:type="dxa"/>
            </w:tcMar>
          </w:tcPr>
          <w:p>
            <w:pPr>
              <w:spacing w:after="20"/>
            </w:pPr>
            <w:r>
              <w:rPr>
                <w:sz w:val="15"/>
              </w:rPr>
              <w:t>21895.71 us</w:t>
            </w:r>
          </w:p>
        </w:tc>
        <w:tc>
          <w:tcPr>
            <w:tcW w:type="dxa" w:w="1531"/>
            <w:vAlign w:val="top"/>
            <w:tcMar>
              <w:top w:w="70" w:type="dxa"/>
              <w:start w:w="90" w:type="dxa"/>
              <w:bottom w:w="70" w:type="dxa"/>
              <w:end w:w="90" w:type="dxa"/>
            </w:tcMar>
          </w:tcPr>
          <w:p>
            <w:pPr>
              <w:spacing w:after="20"/>
            </w:pPr>
            <w:r>
              <w:rPr>
                <w:sz w:val="15"/>
              </w:rPr>
              <w:t>22263.13 us</w:t>
            </w:r>
          </w:p>
        </w:tc>
        <w:tc>
          <w:tcPr>
            <w:tcW w:type="dxa" w:w="1361"/>
            <w:vAlign w:val="top"/>
            <w:tcMar>
              <w:top w:w="70" w:type="dxa"/>
              <w:start w:w="90" w:type="dxa"/>
              <w:bottom w:w="70" w:type="dxa"/>
              <w:end w:w="90" w:type="dxa"/>
            </w:tcMar>
          </w:tcPr>
          <w:p>
            <w:pPr>
              <w:spacing w:after="20"/>
            </w:pPr>
            <w:r>
              <w:rPr>
                <w:sz w:val="15"/>
              </w:rPr>
              <w:t>324.14 us</w:t>
            </w:r>
          </w:p>
        </w:tc>
        <w:tc>
          <w:tcPr>
            <w:tcW w:type="dxa" w:w="1417"/>
            <w:vAlign w:val="top"/>
            <w:tcMar>
              <w:top w:w="70" w:type="dxa"/>
              <w:start w:w="90" w:type="dxa"/>
              <w:bottom w:w="70" w:type="dxa"/>
              <w:end w:w="90" w:type="dxa"/>
            </w:tcMar>
          </w:tcPr>
          <w:p>
            <w:pPr>
              <w:spacing w:after="20"/>
            </w:pPr>
            <w:r>
              <w:rPr>
                <w:sz w:val="15"/>
              </w:rPr>
              <w:t>22064.12 us</w:t>
            </w:r>
          </w:p>
        </w:tc>
        <w:tc>
          <w:tcPr>
            <w:tcW w:type="dxa" w:w="1417"/>
            <w:vAlign w:val="top"/>
            <w:tcMar>
              <w:top w:w="70" w:type="dxa"/>
              <w:start w:w="90" w:type="dxa"/>
              <w:bottom w:w="70" w:type="dxa"/>
              <w:end w:w="90" w:type="dxa"/>
            </w:tcMar>
          </w:tcPr>
          <w:p>
            <w:pPr>
              <w:spacing w:after="20"/>
            </w:pPr>
            <w:r>
              <w:rPr>
                <w:sz w:val="15"/>
              </w:rPr>
              <w:t>22203.83 us</w:t>
            </w:r>
          </w:p>
        </w:tc>
      </w:tr>
      <w:tr>
        <w:trPr>
          <w:cantSplit/>
        </w:trPr>
        <w:tc>
          <w:tcPr>
            <w:tcW w:type="dxa" w:w="1417"/>
            <w:vAlign w:val="top"/>
            <w:tcMar>
              <w:top w:w="70" w:type="dxa"/>
              <w:start w:w="90" w:type="dxa"/>
              <w:bottom w:w="70" w:type="dxa"/>
              <w:end w:w="90" w:type="dxa"/>
            </w:tcMar>
          </w:tcPr>
          <w:p>
            <w:pPr>
              <w:spacing w:after="20"/>
            </w:pPr>
            <w:r>
              <w:rPr>
                <w:sz w:val="15"/>
              </w:rPr>
              <w:t>50 ms</w:t>
            </w:r>
          </w:p>
        </w:tc>
        <w:tc>
          <w:tcPr>
            <w:tcW w:type="dxa" w:w="1531"/>
            <w:vAlign w:val="top"/>
            <w:tcMar>
              <w:top w:w="70" w:type="dxa"/>
              <w:start w:w="90" w:type="dxa"/>
              <w:bottom w:w="70" w:type="dxa"/>
              <w:end w:w="90" w:type="dxa"/>
            </w:tcMar>
          </w:tcPr>
          <w:p>
            <w:pPr>
              <w:spacing w:after="20"/>
            </w:pPr>
            <w:r>
              <w:rPr>
                <w:sz w:val="15"/>
              </w:rPr>
              <w:t>52083.48 us</w:t>
            </w:r>
          </w:p>
        </w:tc>
        <w:tc>
          <w:tcPr>
            <w:tcW w:type="dxa" w:w="1531"/>
            <w:vAlign w:val="top"/>
            <w:tcMar>
              <w:top w:w="70" w:type="dxa"/>
              <w:start w:w="90" w:type="dxa"/>
              <w:bottom w:w="70" w:type="dxa"/>
              <w:end w:w="90" w:type="dxa"/>
            </w:tcMar>
          </w:tcPr>
          <w:p>
            <w:pPr>
              <w:spacing w:after="20"/>
            </w:pPr>
            <w:r>
              <w:rPr>
                <w:sz w:val="15"/>
              </w:rPr>
              <w:t>52451.97 us</w:t>
            </w:r>
          </w:p>
        </w:tc>
        <w:tc>
          <w:tcPr>
            <w:tcW w:type="dxa" w:w="1361"/>
            <w:vAlign w:val="top"/>
            <w:tcMar>
              <w:top w:w="70" w:type="dxa"/>
              <w:start w:w="90" w:type="dxa"/>
              <w:bottom w:w="70" w:type="dxa"/>
              <w:end w:w="90" w:type="dxa"/>
            </w:tcMar>
          </w:tcPr>
          <w:p>
            <w:pPr>
              <w:spacing w:after="20"/>
            </w:pPr>
            <w:r>
              <w:rPr>
                <w:sz w:val="15"/>
              </w:rPr>
              <w:t>336.05 us</w:t>
            </w:r>
          </w:p>
        </w:tc>
        <w:tc>
          <w:tcPr>
            <w:tcW w:type="dxa" w:w="1417"/>
            <w:vAlign w:val="top"/>
            <w:tcMar>
              <w:top w:w="70" w:type="dxa"/>
              <w:start w:w="90" w:type="dxa"/>
              <w:bottom w:w="70" w:type="dxa"/>
              <w:end w:w="90" w:type="dxa"/>
            </w:tcMar>
          </w:tcPr>
          <w:p>
            <w:pPr>
              <w:spacing w:after="20"/>
            </w:pPr>
            <w:r>
              <w:rPr>
                <w:sz w:val="15"/>
              </w:rPr>
              <w:t>52145.39 us</w:t>
            </w:r>
          </w:p>
        </w:tc>
        <w:tc>
          <w:tcPr>
            <w:tcW w:type="dxa" w:w="1417"/>
            <w:vAlign w:val="top"/>
            <w:tcMar>
              <w:top w:w="70" w:type="dxa"/>
              <w:start w:w="90" w:type="dxa"/>
              <w:bottom w:w="70" w:type="dxa"/>
              <w:end w:w="90" w:type="dxa"/>
            </w:tcMar>
          </w:tcPr>
          <w:p>
            <w:pPr>
              <w:spacing w:after="20"/>
            </w:pPr>
            <w:r>
              <w:rPr>
                <w:sz w:val="15"/>
              </w:rPr>
              <w:t>52155.48 us</w:t>
            </w:r>
          </w:p>
        </w:tc>
      </w:tr>
      <w:tr>
        <w:trPr>
          <w:cantSplit/>
        </w:trPr>
        <w:tc>
          <w:tcPr>
            <w:tcW w:type="dxa" w:w="1417"/>
            <w:vAlign w:val="top"/>
            <w:tcMar>
              <w:top w:w="70" w:type="dxa"/>
              <w:start w:w="90" w:type="dxa"/>
              <w:bottom w:w="70" w:type="dxa"/>
              <w:end w:w="90" w:type="dxa"/>
            </w:tcMar>
          </w:tcPr>
          <w:p>
            <w:pPr>
              <w:spacing w:after="20"/>
            </w:pPr>
            <w:r>
              <w:rPr>
                <w:sz w:val="15"/>
              </w:rPr>
              <w:t>100 ms</w:t>
            </w:r>
          </w:p>
        </w:tc>
        <w:tc>
          <w:tcPr>
            <w:tcW w:type="dxa" w:w="1531"/>
            <w:vAlign w:val="top"/>
            <w:tcMar>
              <w:top w:w="70" w:type="dxa"/>
              <w:start w:w="90" w:type="dxa"/>
              <w:bottom w:w="70" w:type="dxa"/>
              <w:end w:w="90" w:type="dxa"/>
            </w:tcMar>
          </w:tcPr>
          <w:p>
            <w:pPr>
              <w:spacing w:after="20"/>
            </w:pPr>
            <w:r>
              <w:rPr>
                <w:sz w:val="15"/>
              </w:rPr>
              <w:t>102040.92 us</w:t>
            </w:r>
          </w:p>
        </w:tc>
        <w:tc>
          <w:tcPr>
            <w:tcW w:type="dxa" w:w="1531"/>
            <w:vAlign w:val="top"/>
            <w:tcMar>
              <w:top w:w="70" w:type="dxa"/>
              <w:start w:w="90" w:type="dxa"/>
              <w:bottom w:w="70" w:type="dxa"/>
              <w:end w:w="90" w:type="dxa"/>
            </w:tcMar>
          </w:tcPr>
          <w:p>
            <w:pPr>
              <w:spacing w:after="20"/>
            </w:pPr>
            <w:r>
              <w:rPr>
                <w:sz w:val="15"/>
              </w:rPr>
              <w:t>102385.16 us</w:t>
            </w:r>
          </w:p>
        </w:tc>
        <w:tc>
          <w:tcPr>
            <w:tcW w:type="dxa" w:w="1361"/>
            <w:vAlign w:val="top"/>
            <w:tcMar>
              <w:top w:w="70" w:type="dxa"/>
              <w:start w:w="90" w:type="dxa"/>
              <w:bottom w:w="70" w:type="dxa"/>
              <w:end w:w="90" w:type="dxa"/>
            </w:tcMar>
          </w:tcPr>
          <w:p>
            <w:pPr>
              <w:spacing w:after="20"/>
            </w:pPr>
            <w:r>
              <w:rPr>
                <w:sz w:val="15"/>
              </w:rPr>
              <w:t>311.53 us</w:t>
            </w:r>
          </w:p>
        </w:tc>
        <w:tc>
          <w:tcPr>
            <w:tcW w:type="dxa" w:w="1417"/>
            <w:vAlign w:val="top"/>
            <w:tcMar>
              <w:top w:w="70" w:type="dxa"/>
              <w:start w:w="90" w:type="dxa"/>
              <w:bottom w:w="70" w:type="dxa"/>
              <w:end w:w="90" w:type="dxa"/>
            </w:tcMar>
          </w:tcPr>
          <w:p>
            <w:pPr>
              <w:spacing w:after="20"/>
            </w:pPr>
            <w:r>
              <w:rPr>
                <w:sz w:val="15"/>
              </w:rPr>
              <w:t>102203.49 us</w:t>
            </w:r>
          </w:p>
        </w:tc>
        <w:tc>
          <w:tcPr>
            <w:tcW w:type="dxa" w:w="1417"/>
            <w:vAlign w:val="top"/>
            <w:tcMar>
              <w:top w:w="70" w:type="dxa"/>
              <w:start w:w="90" w:type="dxa"/>
              <w:bottom w:w="70" w:type="dxa"/>
              <w:end w:w="90" w:type="dxa"/>
            </w:tcMar>
          </w:tcPr>
          <w:p>
            <w:pPr>
              <w:spacing w:after="20"/>
            </w:pPr>
            <w:r>
              <w:rPr>
                <w:sz w:val="15"/>
              </w:rPr>
              <w:t>102264.74 us</w:t>
            </w:r>
          </w:p>
        </w:tc>
      </w:tr>
    </w:tbl>
    <w:p>
      <w:pPr>
        <w:spacing w:after="0"/>
      </w:pPr>
    </w:p>
    <w:p>
      <w:r>
        <w:t>Interpretation: when a natural application request already occurred, the tested Freshness update did not add another network round trip. Its paired marginal median remained sub-millisecond while configured RTT increased, whereas the separate DNS and Push transactions tracked path RTT. DNS and Push are control paths for the cost of a separate network transaction, not matched application-layer workloads: the Push harness also performs HTTPS response handling, Base64/JSON parsing, Ed25519 verification, and semantic checks. Differences between DNS and Push medians therefore must not be read as a ranking of DNS versus Push efficiency; the supported comparison is RTT dependence of a separate transaction versus in-band work on an already-active path.</w:t>
      </w:r>
    </w:p>
    <w:p>
      <w:pPr>
        <w:pStyle w:val="Heading2"/>
      </w:pPr>
      <w:r>
        <w:t>8.2 Chromium H3 100-repetition paired benchmark</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361"/>
            <w:shd w:fill="D9E2F3"/>
            <w:vAlign w:val="center"/>
            <w:tcMar>
              <w:top w:w="70" w:type="dxa"/>
              <w:start w:w="90" w:type="dxa"/>
              <w:bottom w:w="70" w:type="dxa"/>
              <w:end w:w="90" w:type="dxa"/>
            </w:tcMar>
          </w:tcPr>
          <w:p>
            <w:r>
              <w:rPr>
                <w:b/>
                <w:sz w:val="16"/>
              </w:rPr>
              <w:t>Metric</w:t>
            </w:r>
          </w:p>
        </w:tc>
        <w:tc>
          <w:tcPr>
            <w:tcW w:type="dxa" w:w="2381"/>
            <w:shd w:fill="D9E2F3"/>
            <w:vAlign w:val="center"/>
            <w:tcMar>
              <w:top w:w="70" w:type="dxa"/>
              <w:start w:w="90" w:type="dxa"/>
              <w:bottom w:w="70" w:type="dxa"/>
              <w:end w:w="90" w:type="dxa"/>
            </w:tcMar>
          </w:tcPr>
          <w:p>
            <w:r>
              <w:rPr>
                <w:b/>
                <w:sz w:val="16"/>
              </w:rPr>
              <w:t>Delta</w:t>
            </w:r>
          </w:p>
        </w:tc>
        <w:tc>
          <w:tcPr>
            <w:tcW w:type="dxa" w:w="2381"/>
            <w:shd w:fill="D9E2F3"/>
            <w:vAlign w:val="center"/>
            <w:tcMar>
              <w:top w:w="70" w:type="dxa"/>
              <w:start w:w="90" w:type="dxa"/>
              <w:bottom w:w="70" w:type="dxa"/>
              <w:end w:w="90" w:type="dxa"/>
            </w:tcMar>
          </w:tcPr>
          <w:p>
            <w:r>
              <w:rPr>
                <w:b/>
                <w:sz w:val="16"/>
              </w:rPr>
              <w:t>NoChange</w:t>
            </w:r>
          </w:p>
        </w:tc>
        <w:tc>
          <w:tcPr>
            <w:tcW w:type="dxa" w:w="2948"/>
            <w:shd w:fill="D9E2F3"/>
            <w:vAlign w:val="center"/>
            <w:tcMar>
              <w:top w:w="70" w:type="dxa"/>
              <w:start w:w="90" w:type="dxa"/>
              <w:bottom w:w="70" w:type="dxa"/>
              <w:end w:w="90" w:type="dxa"/>
            </w:tcMar>
          </w:tcPr>
          <w:p>
            <w:r>
              <w:rPr>
                <w:b/>
                <w:sz w:val="16"/>
              </w:rPr>
              <w:t>Paired Delta-NoChange</w:t>
            </w:r>
          </w:p>
        </w:tc>
      </w:tr>
      <w:tr>
        <w:trPr>
          <w:cantSplit/>
        </w:trPr>
        <w:tc>
          <w:tcPr>
            <w:tcW w:type="dxa" w:w="1361"/>
            <w:vAlign w:val="top"/>
            <w:tcMar>
              <w:top w:w="70" w:type="dxa"/>
              <w:start w:w="90" w:type="dxa"/>
              <w:bottom w:w="70" w:type="dxa"/>
              <w:end w:w="90" w:type="dxa"/>
            </w:tcMar>
          </w:tcPr>
          <w:p>
            <w:pPr>
              <w:spacing w:after="20"/>
            </w:pPr>
            <w:r>
              <w:rPr>
                <w:sz w:val="16"/>
              </w:rPr>
              <w:t>n</w:t>
            </w:r>
          </w:p>
        </w:tc>
        <w:tc>
          <w:tcPr>
            <w:tcW w:type="dxa" w:w="2381"/>
            <w:vAlign w:val="top"/>
            <w:tcMar>
              <w:top w:w="70" w:type="dxa"/>
              <w:start w:w="90" w:type="dxa"/>
              <w:bottom w:w="70" w:type="dxa"/>
              <w:end w:w="90" w:type="dxa"/>
            </w:tcMar>
          </w:tcPr>
          <w:p>
            <w:pPr>
              <w:spacing w:after="20"/>
            </w:pPr>
            <w:r>
              <w:rPr>
                <w:sz w:val="16"/>
              </w:rPr>
              <w:t>100</w:t>
            </w:r>
          </w:p>
        </w:tc>
        <w:tc>
          <w:tcPr>
            <w:tcW w:type="dxa" w:w="2381"/>
            <w:vAlign w:val="top"/>
            <w:tcMar>
              <w:top w:w="70" w:type="dxa"/>
              <w:start w:w="90" w:type="dxa"/>
              <w:bottom w:w="70" w:type="dxa"/>
              <w:end w:w="90" w:type="dxa"/>
            </w:tcMar>
          </w:tcPr>
          <w:p>
            <w:pPr>
              <w:spacing w:after="20"/>
            </w:pPr>
            <w:r>
              <w:rPr>
                <w:sz w:val="16"/>
              </w:rPr>
              <w:t>100</w:t>
            </w:r>
          </w:p>
        </w:tc>
        <w:tc>
          <w:tcPr>
            <w:tcW w:type="dxa" w:w="2948"/>
            <w:vAlign w:val="top"/>
            <w:tcMar>
              <w:top w:w="70" w:type="dxa"/>
              <w:start w:w="90" w:type="dxa"/>
              <w:bottom w:w="70" w:type="dxa"/>
              <w:end w:w="90" w:type="dxa"/>
            </w:tcMar>
          </w:tcPr>
          <w:p>
            <w:pPr>
              <w:spacing w:after="20"/>
            </w:pPr>
            <w:r>
              <w:rPr>
                <w:sz w:val="16"/>
              </w:rPr>
              <w:t>100</w:t>
            </w:r>
          </w:p>
        </w:tc>
      </w:tr>
      <w:tr>
        <w:trPr>
          <w:cantSplit/>
        </w:trPr>
        <w:tc>
          <w:tcPr>
            <w:tcW w:type="dxa" w:w="1361"/>
            <w:vAlign w:val="top"/>
            <w:tcMar>
              <w:top w:w="70" w:type="dxa"/>
              <w:start w:w="90" w:type="dxa"/>
              <w:bottom w:w="70" w:type="dxa"/>
              <w:end w:w="90" w:type="dxa"/>
            </w:tcMar>
          </w:tcPr>
          <w:p>
            <w:pPr>
              <w:spacing w:after="20"/>
            </w:pPr>
            <w:r>
              <w:rPr>
                <w:sz w:val="16"/>
              </w:rPr>
              <w:t>min</w:t>
            </w:r>
          </w:p>
        </w:tc>
        <w:tc>
          <w:tcPr>
            <w:tcW w:type="dxa" w:w="2381"/>
            <w:vAlign w:val="top"/>
            <w:tcMar>
              <w:top w:w="70" w:type="dxa"/>
              <w:start w:w="90" w:type="dxa"/>
              <w:bottom w:w="70" w:type="dxa"/>
              <w:end w:w="90" w:type="dxa"/>
            </w:tcMar>
          </w:tcPr>
          <w:p>
            <w:pPr>
              <w:spacing w:after="20"/>
            </w:pPr>
            <w:r>
              <w:rPr>
                <w:sz w:val="16"/>
              </w:rPr>
              <w:t>24.401 ms</w:t>
            </w:r>
          </w:p>
        </w:tc>
        <w:tc>
          <w:tcPr>
            <w:tcW w:type="dxa" w:w="2381"/>
            <w:vAlign w:val="top"/>
            <w:tcMar>
              <w:top w:w="70" w:type="dxa"/>
              <w:start w:w="90" w:type="dxa"/>
              <w:bottom w:w="70" w:type="dxa"/>
              <w:end w:w="90" w:type="dxa"/>
            </w:tcMar>
          </w:tcPr>
          <w:p>
            <w:pPr>
              <w:spacing w:after="20"/>
            </w:pPr>
            <w:r>
              <w:rPr>
                <w:sz w:val="16"/>
              </w:rPr>
              <w:t>23.347 ms</w:t>
            </w:r>
          </w:p>
        </w:tc>
        <w:tc>
          <w:tcPr>
            <w:tcW w:type="dxa" w:w="2948"/>
            <w:vAlign w:val="top"/>
            <w:tcMar>
              <w:top w:w="70" w:type="dxa"/>
              <w:start w:w="90" w:type="dxa"/>
              <w:bottom w:w="70" w:type="dxa"/>
              <w:end w:w="90" w:type="dxa"/>
            </w:tcMar>
          </w:tcPr>
          <w:p>
            <w:pPr>
              <w:spacing w:after="20"/>
            </w:pPr>
            <w:r>
              <w:rPr>
                <w:sz w:val="16"/>
              </w:rPr>
              <w:t>-6.747 ms</w:t>
            </w:r>
          </w:p>
        </w:tc>
      </w:tr>
      <w:tr>
        <w:trPr>
          <w:cantSplit/>
        </w:trPr>
        <w:tc>
          <w:tcPr>
            <w:tcW w:type="dxa" w:w="1361"/>
            <w:vAlign w:val="top"/>
            <w:tcMar>
              <w:top w:w="70" w:type="dxa"/>
              <w:start w:w="90" w:type="dxa"/>
              <w:bottom w:w="70" w:type="dxa"/>
              <w:end w:w="90" w:type="dxa"/>
            </w:tcMar>
          </w:tcPr>
          <w:p>
            <w:pPr>
              <w:spacing w:after="20"/>
            </w:pPr>
            <w:r>
              <w:rPr>
                <w:sz w:val="16"/>
              </w:rPr>
              <w:t>mean</w:t>
            </w:r>
          </w:p>
        </w:tc>
        <w:tc>
          <w:tcPr>
            <w:tcW w:type="dxa" w:w="2381"/>
            <w:vAlign w:val="top"/>
            <w:tcMar>
              <w:top w:w="70" w:type="dxa"/>
              <w:start w:w="90" w:type="dxa"/>
              <w:bottom w:w="70" w:type="dxa"/>
              <w:end w:w="90" w:type="dxa"/>
            </w:tcMar>
          </w:tcPr>
          <w:p>
            <w:pPr>
              <w:spacing w:after="20"/>
            </w:pPr>
            <w:r>
              <w:rPr>
                <w:sz w:val="16"/>
              </w:rPr>
              <w:t>29.374 ms</w:t>
            </w:r>
          </w:p>
        </w:tc>
        <w:tc>
          <w:tcPr>
            <w:tcW w:type="dxa" w:w="2381"/>
            <w:vAlign w:val="top"/>
            <w:tcMar>
              <w:top w:w="70" w:type="dxa"/>
              <w:start w:w="90" w:type="dxa"/>
              <w:bottom w:w="70" w:type="dxa"/>
              <w:end w:w="90" w:type="dxa"/>
            </w:tcMar>
          </w:tcPr>
          <w:p>
            <w:pPr>
              <w:spacing w:after="20"/>
            </w:pPr>
            <w:r>
              <w:rPr>
                <w:sz w:val="16"/>
              </w:rPr>
              <w:t>29.251 ms</w:t>
            </w:r>
          </w:p>
        </w:tc>
        <w:tc>
          <w:tcPr>
            <w:tcW w:type="dxa" w:w="2948"/>
            <w:vAlign w:val="top"/>
            <w:tcMar>
              <w:top w:w="70" w:type="dxa"/>
              <w:start w:w="90" w:type="dxa"/>
              <w:bottom w:w="70" w:type="dxa"/>
              <w:end w:w="90" w:type="dxa"/>
            </w:tcMar>
          </w:tcPr>
          <w:p>
            <w:pPr>
              <w:spacing w:after="20"/>
            </w:pPr>
            <w:r>
              <w:rPr>
                <w:sz w:val="16"/>
              </w:rPr>
              <w:t>+0.123 ms</w:t>
            </w:r>
          </w:p>
        </w:tc>
      </w:tr>
      <w:tr>
        <w:trPr>
          <w:cantSplit/>
        </w:trPr>
        <w:tc>
          <w:tcPr>
            <w:tcW w:type="dxa" w:w="1361"/>
            <w:vAlign w:val="top"/>
            <w:tcMar>
              <w:top w:w="70" w:type="dxa"/>
              <w:start w:w="90" w:type="dxa"/>
              <w:bottom w:w="70" w:type="dxa"/>
              <w:end w:w="90" w:type="dxa"/>
            </w:tcMar>
          </w:tcPr>
          <w:p>
            <w:pPr>
              <w:spacing w:after="20"/>
            </w:pPr>
            <w:r>
              <w:rPr>
                <w:sz w:val="16"/>
              </w:rPr>
              <w:t>p50</w:t>
            </w:r>
          </w:p>
        </w:tc>
        <w:tc>
          <w:tcPr>
            <w:tcW w:type="dxa" w:w="2381"/>
            <w:vAlign w:val="top"/>
            <w:tcMar>
              <w:top w:w="70" w:type="dxa"/>
              <w:start w:w="90" w:type="dxa"/>
              <w:bottom w:w="70" w:type="dxa"/>
              <w:end w:w="90" w:type="dxa"/>
            </w:tcMar>
          </w:tcPr>
          <w:p>
            <w:pPr>
              <w:spacing w:after="20"/>
            </w:pPr>
            <w:r>
              <w:rPr>
                <w:sz w:val="16"/>
              </w:rPr>
              <w:t>29.378 ms</w:t>
            </w:r>
          </w:p>
        </w:tc>
        <w:tc>
          <w:tcPr>
            <w:tcW w:type="dxa" w:w="2381"/>
            <w:vAlign w:val="top"/>
            <w:tcMar>
              <w:top w:w="70" w:type="dxa"/>
              <w:start w:w="90" w:type="dxa"/>
              <w:bottom w:w="70" w:type="dxa"/>
              <w:end w:w="90" w:type="dxa"/>
            </w:tcMar>
          </w:tcPr>
          <w:p>
            <w:pPr>
              <w:spacing w:after="20"/>
            </w:pPr>
            <w:r>
              <w:rPr>
                <w:sz w:val="16"/>
              </w:rPr>
              <w:t>28.997 ms</w:t>
            </w:r>
          </w:p>
        </w:tc>
        <w:tc>
          <w:tcPr>
            <w:tcW w:type="dxa" w:w="2948"/>
            <w:vAlign w:val="top"/>
            <w:tcMar>
              <w:top w:w="70" w:type="dxa"/>
              <w:start w:w="90" w:type="dxa"/>
              <w:bottom w:w="70" w:type="dxa"/>
              <w:end w:w="90" w:type="dxa"/>
            </w:tcMar>
          </w:tcPr>
          <w:p>
            <w:pPr>
              <w:spacing w:after="20"/>
            </w:pPr>
            <w:r>
              <w:rPr>
                <w:sz w:val="16"/>
              </w:rPr>
              <w:t>+0.145 ms</w:t>
            </w:r>
          </w:p>
        </w:tc>
      </w:tr>
      <w:tr>
        <w:trPr>
          <w:cantSplit/>
        </w:trPr>
        <w:tc>
          <w:tcPr>
            <w:tcW w:type="dxa" w:w="1361"/>
            <w:vAlign w:val="top"/>
            <w:tcMar>
              <w:top w:w="70" w:type="dxa"/>
              <w:start w:w="90" w:type="dxa"/>
              <w:bottom w:w="70" w:type="dxa"/>
              <w:end w:w="90" w:type="dxa"/>
            </w:tcMar>
          </w:tcPr>
          <w:p>
            <w:pPr>
              <w:spacing w:after="20"/>
            </w:pPr>
            <w:r>
              <w:rPr>
                <w:sz w:val="16"/>
              </w:rPr>
              <w:t>p95</w:t>
            </w:r>
          </w:p>
        </w:tc>
        <w:tc>
          <w:tcPr>
            <w:tcW w:type="dxa" w:w="2381"/>
            <w:vAlign w:val="top"/>
            <w:tcMar>
              <w:top w:w="70" w:type="dxa"/>
              <w:start w:w="90" w:type="dxa"/>
              <w:bottom w:w="70" w:type="dxa"/>
              <w:end w:w="90" w:type="dxa"/>
            </w:tcMar>
          </w:tcPr>
          <w:p>
            <w:pPr>
              <w:spacing w:after="20"/>
            </w:pPr>
            <w:r>
              <w:rPr>
                <w:sz w:val="16"/>
              </w:rPr>
              <w:t>32.720 ms</w:t>
            </w:r>
          </w:p>
        </w:tc>
        <w:tc>
          <w:tcPr>
            <w:tcW w:type="dxa" w:w="2381"/>
            <w:vAlign w:val="top"/>
            <w:tcMar>
              <w:top w:w="70" w:type="dxa"/>
              <w:start w:w="90" w:type="dxa"/>
              <w:bottom w:w="70" w:type="dxa"/>
              <w:end w:w="90" w:type="dxa"/>
            </w:tcMar>
          </w:tcPr>
          <w:p>
            <w:pPr>
              <w:spacing w:after="20"/>
            </w:pPr>
            <w:r>
              <w:rPr>
                <w:sz w:val="16"/>
              </w:rPr>
              <w:t>33.315 ms</w:t>
            </w:r>
          </w:p>
        </w:tc>
        <w:tc>
          <w:tcPr>
            <w:tcW w:type="dxa" w:w="2948"/>
            <w:vAlign w:val="top"/>
            <w:tcMar>
              <w:top w:w="70" w:type="dxa"/>
              <w:start w:w="90" w:type="dxa"/>
              <w:bottom w:w="70" w:type="dxa"/>
              <w:end w:w="90" w:type="dxa"/>
            </w:tcMar>
          </w:tcPr>
          <w:p>
            <w:pPr>
              <w:spacing w:after="20"/>
            </w:pPr>
            <w:r>
              <w:rPr>
                <w:sz w:val="16"/>
              </w:rPr>
              <w:t>+3.853 ms</w:t>
            </w:r>
          </w:p>
        </w:tc>
      </w:tr>
      <w:tr>
        <w:trPr>
          <w:cantSplit/>
        </w:trPr>
        <w:tc>
          <w:tcPr>
            <w:tcW w:type="dxa" w:w="1361"/>
            <w:vAlign w:val="top"/>
            <w:tcMar>
              <w:top w:w="70" w:type="dxa"/>
              <w:start w:w="90" w:type="dxa"/>
              <w:bottom w:w="70" w:type="dxa"/>
              <w:end w:w="90" w:type="dxa"/>
            </w:tcMar>
          </w:tcPr>
          <w:p>
            <w:pPr>
              <w:spacing w:after="20"/>
            </w:pPr>
            <w:r>
              <w:rPr>
                <w:sz w:val="16"/>
              </w:rPr>
              <w:t>p99</w:t>
            </w:r>
          </w:p>
        </w:tc>
        <w:tc>
          <w:tcPr>
            <w:tcW w:type="dxa" w:w="2381"/>
            <w:vAlign w:val="top"/>
            <w:tcMar>
              <w:top w:w="70" w:type="dxa"/>
              <w:start w:w="90" w:type="dxa"/>
              <w:bottom w:w="70" w:type="dxa"/>
              <w:end w:w="90" w:type="dxa"/>
            </w:tcMar>
          </w:tcPr>
          <w:p>
            <w:pPr>
              <w:spacing w:after="20"/>
            </w:pPr>
            <w:r>
              <w:rPr>
                <w:sz w:val="16"/>
              </w:rPr>
              <w:t>34.717 ms</w:t>
            </w:r>
          </w:p>
        </w:tc>
        <w:tc>
          <w:tcPr>
            <w:tcW w:type="dxa" w:w="2381"/>
            <w:vAlign w:val="top"/>
            <w:tcMar>
              <w:top w:w="70" w:type="dxa"/>
              <w:start w:w="90" w:type="dxa"/>
              <w:bottom w:w="70" w:type="dxa"/>
              <w:end w:w="90" w:type="dxa"/>
            </w:tcMar>
          </w:tcPr>
          <w:p>
            <w:pPr>
              <w:spacing w:after="20"/>
            </w:pPr>
            <w:r>
              <w:rPr>
                <w:sz w:val="16"/>
              </w:rPr>
              <w:t>34.505 ms</w:t>
            </w:r>
          </w:p>
        </w:tc>
        <w:tc>
          <w:tcPr>
            <w:tcW w:type="dxa" w:w="2948"/>
            <w:vAlign w:val="top"/>
            <w:tcMar>
              <w:top w:w="70" w:type="dxa"/>
              <w:start w:w="90" w:type="dxa"/>
              <w:bottom w:w="70" w:type="dxa"/>
              <w:end w:w="90" w:type="dxa"/>
            </w:tcMar>
          </w:tcPr>
          <w:p>
            <w:pPr>
              <w:spacing w:after="20"/>
            </w:pPr>
            <w:r>
              <w:rPr>
                <w:sz w:val="16"/>
              </w:rPr>
              <w:t>+4.743 ms</w:t>
            </w:r>
          </w:p>
        </w:tc>
      </w:tr>
      <w:tr>
        <w:trPr>
          <w:cantSplit/>
        </w:trPr>
        <w:tc>
          <w:tcPr>
            <w:tcW w:type="dxa" w:w="1361"/>
            <w:vAlign w:val="top"/>
            <w:tcMar>
              <w:top w:w="70" w:type="dxa"/>
              <w:start w:w="90" w:type="dxa"/>
              <w:bottom w:w="70" w:type="dxa"/>
              <w:end w:w="90" w:type="dxa"/>
            </w:tcMar>
          </w:tcPr>
          <w:p>
            <w:pPr>
              <w:spacing w:after="20"/>
            </w:pPr>
            <w:r>
              <w:rPr>
                <w:sz w:val="16"/>
              </w:rPr>
              <w:t>max</w:t>
            </w:r>
          </w:p>
        </w:tc>
        <w:tc>
          <w:tcPr>
            <w:tcW w:type="dxa" w:w="2381"/>
            <w:vAlign w:val="top"/>
            <w:tcMar>
              <w:top w:w="70" w:type="dxa"/>
              <w:start w:w="90" w:type="dxa"/>
              <w:bottom w:w="70" w:type="dxa"/>
              <w:end w:w="90" w:type="dxa"/>
            </w:tcMar>
          </w:tcPr>
          <w:p>
            <w:pPr>
              <w:spacing w:after="20"/>
            </w:pPr>
            <w:r>
              <w:rPr>
                <w:sz w:val="16"/>
              </w:rPr>
              <w:t>34.788 ms</w:t>
            </w:r>
          </w:p>
        </w:tc>
        <w:tc>
          <w:tcPr>
            <w:tcW w:type="dxa" w:w="2381"/>
            <w:vAlign w:val="top"/>
            <w:tcMar>
              <w:top w:w="70" w:type="dxa"/>
              <w:start w:w="90" w:type="dxa"/>
              <w:bottom w:w="70" w:type="dxa"/>
              <w:end w:w="90" w:type="dxa"/>
            </w:tcMar>
          </w:tcPr>
          <w:p>
            <w:pPr>
              <w:spacing w:after="20"/>
            </w:pPr>
            <w:r>
              <w:rPr>
                <w:sz w:val="16"/>
              </w:rPr>
              <w:t>34.701 ms</w:t>
            </w:r>
          </w:p>
        </w:tc>
        <w:tc>
          <w:tcPr>
            <w:tcW w:type="dxa" w:w="2948"/>
            <w:vAlign w:val="top"/>
            <w:tcMar>
              <w:top w:w="70" w:type="dxa"/>
              <w:start w:w="90" w:type="dxa"/>
              <w:bottom w:w="70" w:type="dxa"/>
              <w:end w:w="90" w:type="dxa"/>
            </w:tcMar>
          </w:tcPr>
          <w:p>
            <w:pPr>
              <w:spacing w:after="20"/>
            </w:pPr>
            <w:r>
              <w:rPr>
                <w:sz w:val="16"/>
              </w:rPr>
              <w:t>+8.229 ms</w:t>
            </w:r>
          </w:p>
        </w:tc>
      </w:tr>
    </w:tbl>
    <w:p>
      <w:pPr>
        <w:spacing w:after="0"/>
      </w:pPr>
    </w:p>
    <w:p>
      <w:pPr>
        <w:pStyle w:val="ListBullet"/>
        <w:spacing w:after="40"/>
      </w:pPr>
      <w:r>
        <w:t>Same application QUIC connection: 100/100 paired repetitions.</w:t>
      </w:r>
    </w:p>
    <w:p>
      <w:pPr>
        <w:pStyle w:val="ListBullet"/>
        <w:spacing w:after="40"/>
      </w:pPr>
      <w:r>
        <w:t>Descriptive paired summaries: mean Delta-NoChange = +0.123 ms; p50 = +0.145 ms. These values are point summaries, not a resolved estimate of protocol processing cost.</w:t>
      </w:r>
    </w:p>
    <w:p>
      <w:pPr>
        <w:pStyle w:val="ListBullet"/>
        <w:spacing w:after="40"/>
      </w:pPr>
      <w:r>
        <w:t>The paired differences span -6.747 ms to +8.229 ms and the Delta/NoChange distributions overlap strongly. The browser-visible incremental cost is therefore not statistically resolved by the summary statistics in this harness; the safe claim is that no material per-request penalty was detected at this measurement resolution.</w:t>
      </w:r>
    </w:p>
    <w:p>
      <w:pPr>
        <w:pStyle w:val="ListBullet"/>
      </w:pPr>
      <w:r>
        <w:t>Inferential statistics are not reported from the summary quantiles alone. The archived 100-pair raw vector is the correct source for any confidence interval; no interval is inferred or fabricated from min/mean/percentile summaries in this report.</w:t>
      </w:r>
    </w:p>
    <w:p>
      <w:pPr>
        <w:pStyle w:val="Heading2"/>
      </w:pPr>
      <w:r>
        <w:t>8.3 H3 wire observation: Delta vs NoChange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928"/>
            <w:shd w:fill="D9E2F3"/>
            <w:vAlign w:val="center"/>
            <w:tcMar>
              <w:top w:w="70" w:type="dxa"/>
              <w:start w:w="90" w:type="dxa"/>
              <w:bottom w:w="70" w:type="dxa"/>
              <w:end w:w="90" w:type="dxa"/>
            </w:tcMar>
          </w:tcPr>
          <w:p>
            <w:r>
              <w:rPr>
                <w:b/>
                <w:sz w:val="16"/>
              </w:rPr>
              <w:t>Single observed capture (n=1)</w:t>
            </w:r>
          </w:p>
        </w:tc>
        <w:tc>
          <w:tcPr>
            <w:tcW w:type="dxa" w:w="1134"/>
            <w:shd w:fill="D9E2F3"/>
            <w:vAlign w:val="center"/>
            <w:tcMar>
              <w:top w:w="70" w:type="dxa"/>
              <w:start w:w="90" w:type="dxa"/>
              <w:bottom w:w="70" w:type="dxa"/>
              <w:end w:w="90" w:type="dxa"/>
            </w:tcMar>
          </w:tcPr>
          <w:p>
            <w:r>
              <w:rPr>
                <w:b/>
                <w:sz w:val="16"/>
              </w:rPr>
              <w:t>Packets</w:t>
            </w:r>
          </w:p>
        </w:tc>
        <w:tc>
          <w:tcPr>
            <w:tcW w:type="dxa" w:w="1701"/>
            <w:shd w:fill="D9E2F3"/>
            <w:vAlign w:val="center"/>
            <w:tcMar>
              <w:top w:w="70" w:type="dxa"/>
              <w:start w:w="90" w:type="dxa"/>
              <w:bottom w:w="70" w:type="dxa"/>
              <w:end w:w="90" w:type="dxa"/>
            </w:tcMar>
          </w:tcPr>
          <w:p>
            <w:r>
              <w:rPr>
                <w:b/>
                <w:sz w:val="16"/>
              </w:rPr>
              <w:t>Client -&gt; Server UDP</w:t>
            </w:r>
          </w:p>
        </w:tc>
        <w:tc>
          <w:tcPr>
            <w:tcW w:type="dxa" w:w="1701"/>
            <w:shd w:fill="D9E2F3"/>
            <w:vAlign w:val="center"/>
            <w:tcMar>
              <w:top w:w="70" w:type="dxa"/>
              <w:start w:w="90" w:type="dxa"/>
              <w:bottom w:w="70" w:type="dxa"/>
              <w:end w:w="90" w:type="dxa"/>
            </w:tcMar>
          </w:tcPr>
          <w:p>
            <w:r>
              <w:rPr>
                <w:b/>
                <w:sz w:val="16"/>
              </w:rPr>
              <w:t>Server -&gt; Client UDP</w:t>
            </w:r>
          </w:p>
        </w:tc>
        <w:tc>
          <w:tcPr>
            <w:tcW w:type="dxa" w:w="1361"/>
            <w:shd w:fill="D9E2F3"/>
            <w:vAlign w:val="center"/>
            <w:tcMar>
              <w:top w:w="70" w:type="dxa"/>
              <w:start w:w="90" w:type="dxa"/>
              <w:bottom w:w="70" w:type="dxa"/>
              <w:end w:w="90" w:type="dxa"/>
            </w:tcMar>
          </w:tcPr>
          <w:p>
            <w:r>
              <w:rPr>
                <w:b/>
                <w:sz w:val="16"/>
              </w:rPr>
              <w:t>Total UDP</w:t>
            </w:r>
          </w:p>
        </w:tc>
        <w:tc>
          <w:tcPr>
            <w:tcW w:type="dxa" w:w="1361"/>
            <w:shd w:fill="D9E2F3"/>
            <w:vAlign w:val="center"/>
            <w:tcMar>
              <w:top w:w="70" w:type="dxa"/>
              <w:start w:w="90" w:type="dxa"/>
              <w:bottom w:w="70" w:type="dxa"/>
              <w:end w:w="90" w:type="dxa"/>
            </w:tcMar>
          </w:tcPr>
          <w:p>
            <w:r>
              <w:rPr>
                <w:b/>
                <w:sz w:val="16"/>
              </w:rPr>
              <w:t>Approx. L3</w:t>
            </w:r>
          </w:p>
        </w:tc>
      </w:tr>
      <w:tr>
        <w:trPr>
          <w:cantSplit/>
        </w:trPr>
        <w:tc>
          <w:tcPr>
            <w:tcW w:type="dxa" w:w="1928"/>
            <w:vAlign w:val="top"/>
            <w:tcMar>
              <w:top w:w="70" w:type="dxa"/>
              <w:start w:w="90" w:type="dxa"/>
              <w:bottom w:w="70" w:type="dxa"/>
              <w:end w:w="90" w:type="dxa"/>
            </w:tcMar>
          </w:tcPr>
          <w:p>
            <w:pPr>
              <w:spacing w:after="20"/>
            </w:pPr>
            <w:r>
              <w:rPr>
                <w:sz w:val="16"/>
              </w:rPr>
              <w:t>Delta</w:t>
            </w:r>
          </w:p>
        </w:tc>
        <w:tc>
          <w:tcPr>
            <w:tcW w:type="dxa" w:w="1134"/>
            <w:vAlign w:val="top"/>
            <w:tcMar>
              <w:top w:w="70" w:type="dxa"/>
              <w:start w:w="90" w:type="dxa"/>
              <w:bottom w:w="70" w:type="dxa"/>
              <w:end w:w="90" w:type="dxa"/>
            </w:tcMar>
          </w:tcPr>
          <w:p>
            <w:pPr>
              <w:spacing w:after="20"/>
            </w:pPr>
            <w:r>
              <w:rPr>
                <w:sz w:val="16"/>
              </w:rPr>
              <w:t>5</w:t>
            </w:r>
          </w:p>
        </w:tc>
        <w:tc>
          <w:tcPr>
            <w:tcW w:type="dxa" w:w="1701"/>
            <w:vAlign w:val="top"/>
            <w:tcMar>
              <w:top w:w="70" w:type="dxa"/>
              <w:start w:w="90" w:type="dxa"/>
              <w:bottom w:w="70" w:type="dxa"/>
              <w:end w:w="90" w:type="dxa"/>
            </w:tcMar>
          </w:tcPr>
          <w:p>
            <w:pPr>
              <w:spacing w:after="20"/>
            </w:pPr>
            <w:r>
              <w:rPr>
                <w:sz w:val="16"/>
              </w:rPr>
              <w:t>217 B</w:t>
            </w:r>
          </w:p>
        </w:tc>
        <w:tc>
          <w:tcPr>
            <w:tcW w:type="dxa" w:w="1701"/>
            <w:vAlign w:val="top"/>
            <w:tcMar>
              <w:top w:w="70" w:type="dxa"/>
              <w:start w:w="90" w:type="dxa"/>
              <w:bottom w:w="70" w:type="dxa"/>
              <w:end w:w="90" w:type="dxa"/>
            </w:tcMar>
          </w:tcPr>
          <w:p>
            <w:pPr>
              <w:spacing w:after="20"/>
            </w:pPr>
            <w:r>
              <w:rPr>
                <w:sz w:val="16"/>
              </w:rPr>
              <w:t>516 B</w:t>
            </w:r>
          </w:p>
        </w:tc>
        <w:tc>
          <w:tcPr>
            <w:tcW w:type="dxa" w:w="1361"/>
            <w:vAlign w:val="top"/>
            <w:tcMar>
              <w:top w:w="70" w:type="dxa"/>
              <w:start w:w="90" w:type="dxa"/>
              <w:bottom w:w="70" w:type="dxa"/>
              <w:end w:w="90" w:type="dxa"/>
            </w:tcMar>
          </w:tcPr>
          <w:p>
            <w:pPr>
              <w:spacing w:after="20"/>
            </w:pPr>
            <w:r>
              <w:rPr>
                <w:sz w:val="16"/>
              </w:rPr>
              <w:t>733 B</w:t>
            </w:r>
          </w:p>
        </w:tc>
        <w:tc>
          <w:tcPr>
            <w:tcW w:type="dxa" w:w="1361"/>
            <w:vAlign w:val="top"/>
            <w:tcMar>
              <w:top w:w="70" w:type="dxa"/>
              <w:start w:w="90" w:type="dxa"/>
              <w:bottom w:w="70" w:type="dxa"/>
              <w:end w:w="90" w:type="dxa"/>
            </w:tcMar>
          </w:tcPr>
          <w:p>
            <w:pPr>
              <w:spacing w:after="20"/>
            </w:pPr>
            <w:r>
              <w:rPr>
                <w:sz w:val="16"/>
              </w:rPr>
              <w:t>873 B</w:t>
            </w:r>
          </w:p>
        </w:tc>
      </w:tr>
      <w:tr>
        <w:trPr>
          <w:cantSplit/>
        </w:trPr>
        <w:tc>
          <w:tcPr>
            <w:tcW w:type="dxa" w:w="1928"/>
            <w:vAlign w:val="top"/>
            <w:tcMar>
              <w:top w:w="70" w:type="dxa"/>
              <w:start w:w="90" w:type="dxa"/>
              <w:bottom w:w="70" w:type="dxa"/>
              <w:end w:w="90" w:type="dxa"/>
            </w:tcMar>
          </w:tcPr>
          <w:p>
            <w:pPr>
              <w:spacing w:after="20"/>
            </w:pPr>
            <w:r>
              <w:rPr>
                <w:sz w:val="16"/>
              </w:rPr>
              <w:t>NoChange</w:t>
            </w:r>
          </w:p>
        </w:tc>
        <w:tc>
          <w:tcPr>
            <w:tcW w:type="dxa" w:w="1134"/>
            <w:vAlign w:val="top"/>
            <w:tcMar>
              <w:top w:w="70" w:type="dxa"/>
              <w:start w:w="90" w:type="dxa"/>
              <w:bottom w:w="70" w:type="dxa"/>
              <w:end w:w="90" w:type="dxa"/>
            </w:tcMar>
          </w:tcPr>
          <w:p>
            <w:pPr>
              <w:spacing w:after="20"/>
            </w:pPr>
            <w:r>
              <w:rPr>
                <w:sz w:val="16"/>
              </w:rPr>
              <w:t>7</w:t>
            </w:r>
          </w:p>
        </w:tc>
        <w:tc>
          <w:tcPr>
            <w:tcW w:type="dxa" w:w="1701"/>
            <w:vAlign w:val="top"/>
            <w:tcMar>
              <w:top w:w="70" w:type="dxa"/>
              <w:start w:w="90" w:type="dxa"/>
              <w:bottom w:w="70" w:type="dxa"/>
              <w:end w:w="90" w:type="dxa"/>
            </w:tcMar>
          </w:tcPr>
          <w:p>
            <w:pPr>
              <w:spacing w:after="20"/>
            </w:pPr>
            <w:r>
              <w:rPr>
                <w:sz w:val="16"/>
              </w:rPr>
              <w:t>314 B</w:t>
            </w:r>
          </w:p>
        </w:tc>
        <w:tc>
          <w:tcPr>
            <w:tcW w:type="dxa" w:w="1701"/>
            <w:vAlign w:val="top"/>
            <w:tcMar>
              <w:top w:w="70" w:type="dxa"/>
              <w:start w:w="90" w:type="dxa"/>
              <w:bottom w:w="70" w:type="dxa"/>
              <w:end w:w="90" w:type="dxa"/>
            </w:tcMar>
          </w:tcPr>
          <w:p>
            <w:pPr>
              <w:spacing w:after="20"/>
            </w:pPr>
            <w:r>
              <w:rPr>
                <w:sz w:val="16"/>
              </w:rPr>
              <w:t>181 B</w:t>
            </w:r>
          </w:p>
        </w:tc>
        <w:tc>
          <w:tcPr>
            <w:tcW w:type="dxa" w:w="1361"/>
            <w:vAlign w:val="top"/>
            <w:tcMar>
              <w:top w:w="70" w:type="dxa"/>
              <w:start w:w="90" w:type="dxa"/>
              <w:bottom w:w="70" w:type="dxa"/>
              <w:end w:w="90" w:type="dxa"/>
            </w:tcMar>
          </w:tcPr>
          <w:p>
            <w:pPr>
              <w:spacing w:after="20"/>
            </w:pPr>
            <w:r>
              <w:rPr>
                <w:sz w:val="16"/>
              </w:rPr>
              <w:t>495 B</w:t>
            </w:r>
          </w:p>
        </w:tc>
        <w:tc>
          <w:tcPr>
            <w:tcW w:type="dxa" w:w="1361"/>
            <w:vAlign w:val="top"/>
            <w:tcMar>
              <w:top w:w="70" w:type="dxa"/>
              <w:start w:w="90" w:type="dxa"/>
              <w:bottom w:w="70" w:type="dxa"/>
              <w:end w:w="90" w:type="dxa"/>
            </w:tcMar>
          </w:tcPr>
          <w:p>
            <w:pPr>
              <w:spacing w:after="20"/>
            </w:pPr>
            <w:r>
              <w:rPr>
                <w:sz w:val="16"/>
              </w:rPr>
              <w:t>691 B</w:t>
            </w:r>
          </w:p>
        </w:tc>
      </w:tr>
      <w:tr>
        <w:trPr>
          <w:cantSplit/>
        </w:trPr>
        <w:tc>
          <w:tcPr>
            <w:tcW w:type="dxa" w:w="1928"/>
            <w:vAlign w:val="top"/>
            <w:tcMar>
              <w:top w:w="70" w:type="dxa"/>
              <w:start w:w="90" w:type="dxa"/>
              <w:bottom w:w="70" w:type="dxa"/>
              <w:end w:w="90" w:type="dxa"/>
            </w:tcMar>
          </w:tcPr>
          <w:p>
            <w:pPr>
              <w:spacing w:after="20"/>
            </w:pPr>
            <w:r>
              <w:rPr>
                <w:sz w:val="16"/>
              </w:rPr>
              <w:t>Delta - NoChange</w:t>
            </w:r>
          </w:p>
        </w:tc>
        <w:tc>
          <w:tcPr>
            <w:tcW w:type="dxa" w:w="1134"/>
            <w:vAlign w:val="top"/>
            <w:tcMar>
              <w:top w:w="70" w:type="dxa"/>
              <w:start w:w="90" w:type="dxa"/>
              <w:bottom w:w="70" w:type="dxa"/>
              <w:end w:w="90" w:type="dxa"/>
            </w:tcMar>
          </w:tcPr>
          <w:p>
            <w:pPr>
              <w:spacing w:after="20"/>
            </w:pPr>
            <w:r>
              <w:rPr>
                <w:sz w:val="16"/>
              </w:rPr>
              <w:t>-2</w:t>
            </w:r>
          </w:p>
        </w:tc>
        <w:tc>
          <w:tcPr>
            <w:tcW w:type="dxa" w:w="1701"/>
            <w:vAlign w:val="top"/>
            <w:tcMar>
              <w:top w:w="70" w:type="dxa"/>
              <w:start w:w="90" w:type="dxa"/>
              <w:bottom w:w="70" w:type="dxa"/>
              <w:end w:w="90" w:type="dxa"/>
            </w:tcMar>
          </w:tcPr>
          <w:p>
            <w:pPr>
              <w:spacing w:after="20"/>
            </w:pPr>
            <w:r>
              <w:rPr>
                <w:sz w:val="16"/>
              </w:rPr>
              <w:t>-97 B</w:t>
            </w:r>
          </w:p>
        </w:tc>
        <w:tc>
          <w:tcPr>
            <w:tcW w:type="dxa" w:w="1701"/>
            <w:vAlign w:val="top"/>
            <w:tcMar>
              <w:top w:w="70" w:type="dxa"/>
              <w:start w:w="90" w:type="dxa"/>
              <w:bottom w:w="70" w:type="dxa"/>
              <w:end w:w="90" w:type="dxa"/>
            </w:tcMar>
          </w:tcPr>
          <w:p>
            <w:pPr>
              <w:spacing w:after="20"/>
            </w:pPr>
            <w:r>
              <w:rPr>
                <w:sz w:val="16"/>
              </w:rPr>
              <w:t>+335 B</w:t>
            </w:r>
          </w:p>
        </w:tc>
        <w:tc>
          <w:tcPr>
            <w:tcW w:type="dxa" w:w="1361"/>
            <w:vAlign w:val="top"/>
            <w:tcMar>
              <w:top w:w="70" w:type="dxa"/>
              <w:start w:w="90" w:type="dxa"/>
              <w:bottom w:w="70" w:type="dxa"/>
              <w:end w:w="90" w:type="dxa"/>
            </w:tcMar>
          </w:tcPr>
          <w:p>
            <w:pPr>
              <w:spacing w:after="20"/>
            </w:pPr>
            <w:r>
              <w:rPr>
                <w:sz w:val="16"/>
              </w:rPr>
              <w:t>+238 B</w:t>
            </w:r>
          </w:p>
        </w:tc>
        <w:tc>
          <w:tcPr>
            <w:tcW w:type="dxa" w:w="1361"/>
            <w:vAlign w:val="top"/>
            <w:tcMar>
              <w:top w:w="70" w:type="dxa"/>
              <w:start w:w="90" w:type="dxa"/>
              <w:bottom w:w="70" w:type="dxa"/>
              <w:end w:w="90" w:type="dxa"/>
            </w:tcMar>
          </w:tcPr>
          <w:p>
            <w:pPr>
              <w:spacing w:after="20"/>
            </w:pPr>
            <w:r>
              <w:rPr>
                <w:sz w:val="16"/>
              </w:rPr>
              <w:t>+182 B</w:t>
            </w:r>
          </w:p>
        </w:tc>
      </w:tr>
    </w:tbl>
    <w:p>
      <w:pPr>
        <w:spacing w:after="0"/>
      </w:pPr>
    </w:p>
    <w:p>
      <w:r>
        <w:t>This is a single QUIC capture (n=1). Packet count, ACK behavior, QPACK state, pacing, and packetization can change both directions and the resulting UDP/L3 totals; therefore neither -2 packets nor +238 B UDP is treated as a protocol constant or robust general overhead estimate. The stronger deterministic size fact is the current fullstack Delta COSE object itself (273 B raw); its HTTP Structured Field representation and resulting QUIC wire cost depend on framing/compression/transport state. The capture is retained as an observed example only.</w:t>
      </w:r>
    </w:p>
    <w:p>
      <w:pPr>
        <w:pStyle w:val="Heading1"/>
      </w:pPr>
      <w:r>
        <w:t>9. TTL Interaction and Surviving-Path Self-Healing</w:t>
      </w:r>
    </w:p>
    <w:p>
      <w:r>
        <w:t>The design separates ordinary DNS lifetime from Freshness authorization. Before admission, normal DNS TTL behavior applies. A verified Snapshot, Delta or Checkpoint is a new signed Authority freshness statement. While its validity interval is active, Freshness-managed state may remain usable even after the original bootstrap TTL would otherwise have expired. Interest alone does not suspend TTL indefinitely: once the signed Freshness assertion expires, conventional DNS/cache policy becomes authoritative again.</w:t>
      </w:r>
    </w:p>
    <w:tbl>
      <w:tblPr>
        <w:tblW w:type="auto" w:w="0"/>
        <w:jc w:val="center"/>
        <w:tblLayout w:type="autofit"/>
        <w:tblLook w:firstColumn="1" w:firstRow="1" w:lastColumn="0" w:lastRow="0" w:noHBand="0" w:noVBand="1" w:val="04A0"/>
      </w:tblPr>
      <w:tblGrid>
        <w:gridCol w:w="10200"/>
      </w:tblGrid>
      <w:tr>
        <w:trPr>
          <w:cantSplit/>
        </w:trPr>
        <w:tc>
          <w:tcPr>
            <w:tcW w:type="dxa" w:w="10200"/>
            <w:shd w:fill="EEF2F6"/>
            <w:tcMar>
              <w:top w:w="120" w:type="dxa"/>
              <w:start w:w="140" w:type="dxa"/>
              <w:bottom w:w="120" w:type="dxa"/>
              <w:end w:w="140" w:type="dxa"/>
            </w:tcMar>
          </w:tcPr>
          <w:p>
            <w:pPr>
              <w:spacing w:after="80"/>
            </w:pPr>
            <w:r>
              <w:rPr>
                <w:b/>
                <w:sz w:val="23"/>
              </w:rPr>
              <w:t>Surviving-path property</w:t>
            </w:r>
          </w:p>
          <w:p>
            <w:pPr>
              <w:spacing w:after="0" w:line="252" w:lineRule="auto"/>
            </w:pPr>
            <w:r>
              <w:t>A single still-usable endpoint can carry the cursor and a signed transition that reconciles the entire scope. This allows the client to remove dead members, retain surviving members and add replacement members without requiring DNS solely because one cached endpoint failed. If no authorized path survives, DNS recovery remains mandatory.</w:t>
            </w:r>
          </w:p>
        </w:tc>
      </w:tr>
    </w:tbl>
    <w:p>
      <w:pPr>
        <w:spacing w:after="0"/>
      </w:pPr>
    </w:p>
    <w:p>
      <w:r>
        <w:rPr>
          <w:b/>
        </w:rPr>
        <w:t xml:space="preserve">Generalized example: </w:t>
      </w:r>
      <w:r>
        <w:t>old scope A/B/C/D -&gt; new scope D/E/F. If A/B/C fail while D still works, D can carry the signed transition and repair the client to D/E/F. The Chromium hard-cutover is a concrete endpoint-replacement instance: Gen100 .61 -&gt; Gen101 .12 was committed before .61 was removed.</w:t>
      </w:r>
    </w:p>
    <w:p>
      <w:pPr>
        <w:pStyle w:val="Heading1"/>
      </w:pPr>
      <w:r>
        <w:t>10. Failure, Recovery and Abuse Model</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572"/>
            <w:shd w:fill="D9E2F3"/>
            <w:vAlign w:val="center"/>
            <w:tcMar>
              <w:top w:w="70" w:type="dxa"/>
              <w:start w:w="90" w:type="dxa"/>
              <w:bottom w:w="70" w:type="dxa"/>
              <w:end w:w="90" w:type="dxa"/>
            </w:tcMar>
          </w:tcPr>
          <w:p>
            <w:r>
              <w:rPr>
                <w:b/>
                <w:sz w:val="17"/>
              </w:rPr>
              <w:t>Condition</w:t>
            </w:r>
          </w:p>
        </w:tc>
        <w:tc>
          <w:tcPr>
            <w:tcW w:type="dxa" w:w="5499"/>
            <w:shd w:fill="D9E2F3"/>
            <w:vAlign w:val="center"/>
            <w:tcMar>
              <w:top w:w="70" w:type="dxa"/>
              <w:start w:w="90" w:type="dxa"/>
              <w:bottom w:w="70" w:type="dxa"/>
              <w:end w:w="90" w:type="dxa"/>
            </w:tcMar>
          </w:tcPr>
          <w:p>
            <w:r>
              <w:rPr>
                <w:b/>
                <w:sz w:val="17"/>
              </w:rPr>
              <w:t>Required behavior</w:t>
            </w:r>
          </w:p>
        </w:tc>
      </w:tr>
      <w:tr>
        <w:trPr>
          <w:cantSplit/>
        </w:trPr>
        <w:tc>
          <w:tcPr>
            <w:tcW w:type="dxa" w:w="3572"/>
            <w:vAlign w:val="top"/>
            <w:tcMar>
              <w:top w:w="70" w:type="dxa"/>
              <w:start w:w="90" w:type="dxa"/>
              <w:bottom w:w="70" w:type="dxa"/>
              <w:end w:w="90" w:type="dxa"/>
            </w:tcMar>
          </w:tcPr>
          <w:p>
            <w:pPr>
              <w:spacing w:after="20"/>
            </w:pPr>
            <w:r>
              <w:rPr>
                <w:sz w:val="17"/>
              </w:rPr>
              <w:t>Valid exact-chain Delta</w:t>
            </w:r>
          </w:p>
        </w:tc>
        <w:tc>
          <w:tcPr>
            <w:tcW w:type="dxa" w:w="5499"/>
            <w:vAlign w:val="top"/>
            <w:tcMar>
              <w:top w:w="70" w:type="dxa"/>
              <w:start w:w="90" w:type="dxa"/>
              <w:bottom w:w="70" w:type="dxa"/>
              <w:end w:w="90" w:type="dxa"/>
            </w:tcMar>
          </w:tcPr>
          <w:p>
            <w:pPr>
              <w:spacing w:after="20"/>
            </w:pPr>
            <w:r>
              <w:rPr>
                <w:sz w:val="17"/>
              </w:rPr>
              <w:t>Verify completely, then atomically commit.</w:t>
            </w:r>
          </w:p>
        </w:tc>
      </w:tr>
      <w:tr>
        <w:trPr>
          <w:cantSplit/>
        </w:trPr>
        <w:tc>
          <w:tcPr>
            <w:tcW w:type="dxa" w:w="3572"/>
            <w:vAlign w:val="top"/>
            <w:tcMar>
              <w:top w:w="70" w:type="dxa"/>
              <w:start w:w="90" w:type="dxa"/>
              <w:bottom w:w="70" w:type="dxa"/>
              <w:end w:w="90" w:type="dxa"/>
            </w:tcMar>
          </w:tcPr>
          <w:p>
            <w:pPr>
              <w:spacing w:after="20"/>
            </w:pPr>
            <w:r>
              <w:rPr>
                <w:sz w:val="17"/>
              </w:rPr>
              <w:t>Partial object / interrupted transfer</w:t>
            </w:r>
          </w:p>
        </w:tc>
        <w:tc>
          <w:tcPr>
            <w:tcW w:type="dxa" w:w="5499"/>
            <w:vAlign w:val="top"/>
            <w:tcMar>
              <w:top w:w="70" w:type="dxa"/>
              <w:start w:w="90" w:type="dxa"/>
              <w:bottom w:w="70" w:type="dxa"/>
              <w:end w:w="90" w:type="dxa"/>
            </w:tcMar>
          </w:tcPr>
          <w:p>
            <w:pPr>
              <w:spacing w:after="20"/>
            </w:pPr>
            <w:r>
              <w:rPr>
                <w:sz w:val="17"/>
              </w:rPr>
              <w:t>No mutation. 25%, 75% and 99% interrupted-delivery tests did not commit.</w:t>
            </w:r>
          </w:p>
        </w:tc>
      </w:tr>
      <w:tr>
        <w:trPr>
          <w:cantSplit/>
        </w:trPr>
        <w:tc>
          <w:tcPr>
            <w:tcW w:type="dxa" w:w="3572"/>
            <w:vAlign w:val="top"/>
            <w:tcMar>
              <w:top w:w="70" w:type="dxa"/>
              <w:start w:w="90" w:type="dxa"/>
              <w:bottom w:w="70" w:type="dxa"/>
              <w:end w:w="90" w:type="dxa"/>
            </w:tcMar>
          </w:tcPr>
          <w:p>
            <w:pPr>
              <w:spacing w:after="20"/>
            </w:pPr>
            <w:r>
              <w:rPr>
                <w:sz w:val="17"/>
              </w:rPr>
              <w:t>Stale / duplicate object</w:t>
            </w:r>
          </w:p>
        </w:tc>
        <w:tc>
          <w:tcPr>
            <w:tcW w:type="dxa" w:w="5499"/>
            <w:vAlign w:val="top"/>
            <w:tcMar>
              <w:top w:w="70" w:type="dxa"/>
              <w:start w:w="90" w:type="dxa"/>
              <w:bottom w:w="70" w:type="dxa"/>
              <w:end w:w="90" w:type="dxa"/>
            </w:tcMar>
          </w:tcPr>
          <w:p>
            <w:pPr>
              <w:spacing w:after="20"/>
            </w:pPr>
            <w:r>
              <w:rPr>
                <w:sz w:val="17"/>
              </w:rPr>
              <w:t>Ignore safely when ancestry/digest rules show no advancement is needed.</w:t>
            </w:r>
          </w:p>
        </w:tc>
      </w:tr>
      <w:tr>
        <w:trPr>
          <w:cantSplit/>
        </w:trPr>
        <w:tc>
          <w:tcPr>
            <w:tcW w:type="dxa" w:w="3572"/>
            <w:vAlign w:val="top"/>
            <w:tcMar>
              <w:top w:w="70" w:type="dxa"/>
              <w:start w:w="90" w:type="dxa"/>
              <w:bottom w:w="70" w:type="dxa"/>
              <w:end w:w="90" w:type="dxa"/>
            </w:tcMar>
          </w:tcPr>
          <w:p>
            <w:pPr>
              <w:spacing w:after="20"/>
            </w:pPr>
            <w:r>
              <w:rPr>
                <w:sz w:val="17"/>
              </w:rPr>
              <w:t>Same generation, different digest</w:t>
            </w:r>
          </w:p>
        </w:tc>
        <w:tc>
          <w:tcPr>
            <w:tcW w:type="dxa" w:w="5499"/>
            <w:vAlign w:val="top"/>
            <w:tcMar>
              <w:top w:w="70" w:type="dxa"/>
              <w:start w:w="90" w:type="dxa"/>
              <w:bottom w:w="70" w:type="dxa"/>
              <w:end w:w="90" w:type="dxa"/>
            </w:tcMar>
          </w:tcPr>
          <w:p>
            <w:pPr>
              <w:spacing w:after="20"/>
            </w:pPr>
            <w:r>
              <w:rPr>
                <w:sz w:val="17"/>
              </w:rPr>
              <w:t>Fork -&gt; recovery; do not overwrite.</w:t>
            </w:r>
          </w:p>
        </w:tc>
      </w:tr>
      <w:tr>
        <w:trPr>
          <w:cantSplit/>
        </w:trPr>
        <w:tc>
          <w:tcPr>
            <w:tcW w:type="dxa" w:w="3572"/>
            <w:vAlign w:val="top"/>
            <w:tcMar>
              <w:top w:w="70" w:type="dxa"/>
              <w:start w:w="90" w:type="dxa"/>
              <w:bottom w:w="70" w:type="dxa"/>
              <w:end w:w="90" w:type="dxa"/>
            </w:tcMar>
          </w:tcPr>
          <w:p>
            <w:pPr>
              <w:spacing w:after="20"/>
            </w:pPr>
            <w:r>
              <w:rPr>
                <w:sz w:val="17"/>
              </w:rPr>
              <w:t>Active interest + unbridgeable newer generation</w:t>
            </w:r>
          </w:p>
        </w:tc>
        <w:tc>
          <w:tcPr>
            <w:tcW w:type="dxa" w:w="5499"/>
            <w:vAlign w:val="top"/>
            <w:tcMar>
              <w:top w:w="70" w:type="dxa"/>
              <w:start w:w="90" w:type="dxa"/>
              <w:bottom w:w="70" w:type="dxa"/>
              <w:end w:w="90" w:type="dxa"/>
            </w:tcMar>
          </w:tcPr>
          <w:p>
            <w:pPr>
              <w:spacing w:after="20"/>
            </w:pPr>
            <w:r>
              <w:rPr>
                <w:sz w:val="17"/>
              </w:rPr>
              <w:t>Recovery condition; do not skip silently.</w:t>
            </w:r>
          </w:p>
        </w:tc>
      </w:tr>
      <w:tr>
        <w:trPr>
          <w:cantSplit/>
        </w:trPr>
        <w:tc>
          <w:tcPr>
            <w:tcW w:type="dxa" w:w="3572"/>
            <w:vAlign w:val="top"/>
            <w:tcMar>
              <w:top w:w="70" w:type="dxa"/>
              <w:start w:w="90" w:type="dxa"/>
              <w:bottom w:w="70" w:type="dxa"/>
              <w:end w:w="90" w:type="dxa"/>
            </w:tcMar>
          </w:tcPr>
          <w:p>
            <w:pPr>
              <w:spacing w:after="20"/>
            </w:pPr>
            <w:r>
              <w:rPr>
                <w:sz w:val="17"/>
              </w:rPr>
              <w:t>Evicted/inactive interest + later higher generation</w:t>
            </w:r>
          </w:p>
        </w:tc>
        <w:tc>
          <w:tcPr>
            <w:tcW w:type="dxa" w:w="5499"/>
            <w:vAlign w:val="top"/>
            <w:tcMar>
              <w:top w:w="70" w:type="dxa"/>
              <w:start w:w="90" w:type="dxa"/>
              <w:bottom w:w="70" w:type="dxa"/>
              <w:end w:w="90" w:type="dxa"/>
            </w:tcMar>
          </w:tcPr>
          <w:p>
            <w:pPr>
              <w:spacing w:after="20"/>
            </w:pPr>
            <w:r>
              <w:rPr>
                <w:sz w:val="17"/>
              </w:rPr>
              <w:t>Fresh admission at current head; not a missing-update fault.</w:t>
            </w:r>
          </w:p>
        </w:tc>
      </w:tr>
      <w:tr>
        <w:trPr>
          <w:cantSplit/>
        </w:trPr>
        <w:tc>
          <w:tcPr>
            <w:tcW w:type="dxa" w:w="3572"/>
            <w:vAlign w:val="top"/>
            <w:tcMar>
              <w:top w:w="70" w:type="dxa"/>
              <w:start w:w="90" w:type="dxa"/>
              <w:bottom w:w="70" w:type="dxa"/>
              <w:end w:w="90" w:type="dxa"/>
            </w:tcMar>
          </w:tcPr>
          <w:p>
            <w:pPr>
              <w:spacing w:after="20"/>
            </w:pPr>
            <w:r>
              <w:rPr>
                <w:sz w:val="17"/>
              </w:rPr>
              <w:t>Lease expiry</w:t>
            </w:r>
          </w:p>
        </w:tc>
        <w:tc>
          <w:tcPr>
            <w:tcW w:type="dxa" w:w="5499"/>
            <w:vAlign w:val="top"/>
            <w:tcMar>
              <w:top w:w="70" w:type="dxa"/>
              <w:start w:w="90" w:type="dxa"/>
              <w:bottom w:w="70" w:type="dxa"/>
              <w:end w:w="90" w:type="dxa"/>
            </w:tcMar>
          </w:tcPr>
          <w:p>
            <w:pPr>
              <w:spacing w:after="20"/>
            </w:pPr>
            <w:r>
              <w:rPr>
                <w:sz w:val="17"/>
              </w:rPr>
              <w:t>Freshness authorization ends; conventional DNS/cache policy resumes.</w:t>
            </w:r>
          </w:p>
        </w:tc>
      </w:tr>
      <w:tr>
        <w:trPr>
          <w:cantSplit/>
        </w:trPr>
        <w:tc>
          <w:tcPr>
            <w:tcW w:type="dxa" w:w="3572"/>
            <w:vAlign w:val="top"/>
            <w:tcMar>
              <w:top w:w="70" w:type="dxa"/>
              <w:start w:w="90" w:type="dxa"/>
              <w:bottom w:w="70" w:type="dxa"/>
              <w:end w:w="90" w:type="dxa"/>
            </w:tcMar>
          </w:tcPr>
          <w:p>
            <w:pPr>
              <w:spacing w:after="20"/>
            </w:pPr>
            <w:r>
              <w:rPr>
                <w:sz w:val="17"/>
              </w:rPr>
              <w:t>Operational key compromise</w:t>
            </w:r>
          </w:p>
        </w:tc>
        <w:tc>
          <w:tcPr>
            <w:tcW w:type="dxa" w:w="5499"/>
            <w:vAlign w:val="top"/>
            <w:tcMar>
              <w:top w:w="70" w:type="dxa"/>
              <w:start w:w="90" w:type="dxa"/>
              <w:bottom w:w="70" w:type="dxa"/>
              <w:end w:w="90" w:type="dxa"/>
            </w:tcMar>
          </w:tcPr>
          <w:p>
            <w:pPr>
              <w:spacing w:after="20"/>
            </w:pPr>
            <w:r>
              <w:rPr>
                <w:sz w:val="17"/>
              </w:rPr>
              <w:t>Lower layer cannot self-detect a valid stolen key; DNSSEC root reset is the emergency boundary.</w:t>
            </w:r>
          </w:p>
        </w:tc>
      </w:tr>
      <w:tr>
        <w:trPr>
          <w:cantSplit/>
        </w:trPr>
        <w:tc>
          <w:tcPr>
            <w:tcW w:type="dxa" w:w="3572"/>
            <w:vAlign w:val="top"/>
            <w:tcMar>
              <w:top w:w="70" w:type="dxa"/>
              <w:start w:w="90" w:type="dxa"/>
              <w:bottom w:w="70" w:type="dxa"/>
              <w:end w:w="90" w:type="dxa"/>
            </w:tcMar>
          </w:tcPr>
          <w:p>
            <w:pPr>
              <w:spacing w:after="20"/>
            </w:pPr>
            <w:r>
              <w:rPr>
                <w:sz w:val="17"/>
              </w:rPr>
              <w:t>All known paths fail</w:t>
            </w:r>
          </w:p>
        </w:tc>
        <w:tc>
          <w:tcPr>
            <w:tcW w:type="dxa" w:w="5499"/>
            <w:vAlign w:val="top"/>
            <w:tcMar>
              <w:top w:w="70" w:type="dxa"/>
              <w:start w:w="90" w:type="dxa"/>
              <w:bottom w:w="70" w:type="dxa"/>
              <w:end w:w="90" w:type="dxa"/>
            </w:tcMar>
          </w:tcPr>
          <w:p>
            <w:pPr>
              <w:spacing w:after="20"/>
            </w:pPr>
            <w:r>
              <w:rPr>
                <w:sz w:val="17"/>
              </w:rPr>
              <w:t>Conventional DNS recovery.</w:t>
            </w:r>
          </w:p>
        </w:tc>
      </w:tr>
      <w:tr>
        <w:trPr>
          <w:cantSplit/>
        </w:trPr>
        <w:tc>
          <w:tcPr>
            <w:tcW w:type="dxa" w:w="3572"/>
            <w:vAlign w:val="top"/>
            <w:tcMar>
              <w:top w:w="70" w:type="dxa"/>
              <w:start w:w="90" w:type="dxa"/>
              <w:bottom w:w="70" w:type="dxa"/>
              <w:end w:w="90" w:type="dxa"/>
            </w:tcMar>
          </w:tcPr>
          <w:p>
            <w:pPr>
              <w:spacing w:after="20"/>
            </w:pPr>
            <w:r>
              <w:rPr>
                <w:sz w:val="17"/>
              </w:rPr>
              <w:t>Oversize / resource abuse</w:t>
            </w:r>
          </w:p>
        </w:tc>
        <w:tc>
          <w:tcPr>
            <w:tcW w:type="dxa" w:w="5499"/>
            <w:vAlign w:val="top"/>
            <w:tcMar>
              <w:top w:w="70" w:type="dxa"/>
              <w:start w:w="90" w:type="dxa"/>
              <w:bottom w:w="70" w:type="dxa"/>
              <w:end w:w="90" w:type="dxa"/>
            </w:tcMar>
          </w:tcPr>
          <w:p>
            <w:pPr>
              <w:spacing w:after="20"/>
            </w:pPr>
            <w:r>
              <w:rPr>
                <w:sz w:val="17"/>
              </w:rPr>
              <w:t>Reject before expensive parse/crypto where possible; no partial mutation.</w:t>
            </w:r>
          </w:p>
        </w:tc>
      </w:tr>
    </w:tbl>
    <w:p>
      <w:pPr>
        <w:spacing w:after="0"/>
      </w:pPr>
    </w:p>
    <w:p>
      <w:pPr>
        <w:pStyle w:val="Heading1"/>
      </w:pPr>
      <w:r>
        <w:t>11. What the Evidence Supports - and What It Does Not</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685"/>
            <w:shd w:fill="D9E2F3"/>
            <w:vAlign w:val="center"/>
            <w:tcMar>
              <w:top w:w="70" w:type="dxa"/>
              <w:start w:w="90" w:type="dxa"/>
              <w:bottom w:w="70" w:type="dxa"/>
              <w:end w:w="90" w:type="dxa"/>
            </w:tcMar>
          </w:tcPr>
          <w:p>
            <w:r>
              <w:rPr>
                <w:b/>
                <w:sz w:val="16"/>
              </w:rPr>
              <w:t>Claim</w:t>
            </w:r>
          </w:p>
        </w:tc>
        <w:tc>
          <w:tcPr>
            <w:tcW w:type="dxa" w:w="1928"/>
            <w:shd w:fill="D9E2F3"/>
            <w:vAlign w:val="center"/>
            <w:tcMar>
              <w:top w:w="70" w:type="dxa"/>
              <w:start w:w="90" w:type="dxa"/>
              <w:bottom w:w="70" w:type="dxa"/>
              <w:end w:w="90" w:type="dxa"/>
            </w:tcMar>
          </w:tcPr>
          <w:p>
            <w:r>
              <w:rPr>
                <w:b/>
                <w:sz w:val="16"/>
              </w:rPr>
              <w:t>Evidence class</w:t>
            </w:r>
          </w:p>
        </w:tc>
        <w:tc>
          <w:tcPr>
            <w:tcW w:type="dxa" w:w="3458"/>
            <w:shd w:fill="D9E2F3"/>
            <w:vAlign w:val="center"/>
            <w:tcMar>
              <w:top w:w="70" w:type="dxa"/>
              <w:start w:w="90" w:type="dxa"/>
              <w:bottom w:w="70" w:type="dxa"/>
              <w:end w:w="90" w:type="dxa"/>
            </w:tcMar>
          </w:tcPr>
          <w:p>
            <w:r>
              <w:rPr>
                <w:b/>
                <w:sz w:val="16"/>
              </w:rPr>
              <w:t>Status</w:t>
            </w:r>
          </w:p>
        </w:tc>
      </w:tr>
      <w:tr>
        <w:trPr>
          <w:cantSplit/>
        </w:trPr>
        <w:tc>
          <w:tcPr>
            <w:tcW w:type="dxa" w:w="3685"/>
            <w:vAlign w:val="top"/>
            <w:tcMar>
              <w:top w:w="70" w:type="dxa"/>
              <w:start w:w="90" w:type="dxa"/>
              <w:bottom w:w="70" w:type="dxa"/>
              <w:end w:w="90" w:type="dxa"/>
            </w:tcMar>
          </w:tcPr>
          <w:p>
            <w:pPr>
              <w:spacing w:after="20"/>
            </w:pPr>
            <w:r>
              <w:rPr>
                <w:sz w:val="16"/>
              </w:rPr>
              <w:t>Signed DNS-state updates can ride natural application traffic</w:t>
            </w:r>
          </w:p>
        </w:tc>
        <w:tc>
          <w:tcPr>
            <w:tcW w:type="dxa" w:w="1928"/>
            <w:vAlign w:val="top"/>
            <w:tcMar>
              <w:top w:w="70" w:type="dxa"/>
              <w:start w:w="90" w:type="dxa"/>
              <w:bottom w:w="70" w:type="dxa"/>
              <w:end w:w="90" w:type="dxa"/>
            </w:tcMar>
          </w:tcPr>
          <w:p>
            <w:pPr>
              <w:spacing w:after="20"/>
            </w:pPr>
            <w:r>
              <w:rPr>
                <w:sz w:val="16"/>
              </w:rPr>
              <w:t>PoC-validated</w:t>
            </w:r>
          </w:p>
        </w:tc>
        <w:tc>
          <w:tcPr>
            <w:tcW w:type="dxa" w:w="3458"/>
            <w:vAlign w:val="top"/>
            <w:tcMar>
              <w:top w:w="70" w:type="dxa"/>
              <w:start w:w="90" w:type="dxa"/>
              <w:bottom w:w="70" w:type="dxa"/>
              <w:end w:w="90" w:type="dxa"/>
            </w:tcMar>
          </w:tcPr>
          <w:p>
            <w:pPr>
              <w:spacing w:after="20"/>
            </w:pPr>
            <w:r>
              <w:rPr>
                <w:sz w:val="16"/>
              </w:rPr>
              <w:t>Supported on H1 precursor, real lab H2/H3, and patched Chromium H3 vertical slice.</w:t>
            </w:r>
          </w:p>
        </w:tc>
      </w:tr>
      <w:tr>
        <w:trPr>
          <w:cantSplit/>
        </w:trPr>
        <w:tc>
          <w:tcPr>
            <w:tcW w:type="dxa" w:w="3685"/>
            <w:vAlign w:val="top"/>
            <w:tcMar>
              <w:top w:w="70" w:type="dxa"/>
              <w:start w:w="90" w:type="dxa"/>
              <w:bottom w:w="70" w:type="dxa"/>
              <w:end w:w="90" w:type="dxa"/>
            </w:tcMar>
          </w:tcPr>
          <w:p>
            <w:pPr>
              <w:spacing w:after="20"/>
            </w:pPr>
            <w:r>
              <w:rPr>
                <w:sz w:val="16"/>
              </w:rPr>
              <w:t>No dedicated Freshness connection/handshake is required</w:t>
            </w:r>
          </w:p>
        </w:tc>
        <w:tc>
          <w:tcPr>
            <w:tcW w:type="dxa" w:w="1928"/>
            <w:vAlign w:val="top"/>
            <w:tcMar>
              <w:top w:w="70" w:type="dxa"/>
              <w:start w:w="90" w:type="dxa"/>
              <w:bottom w:w="70" w:type="dxa"/>
              <w:end w:w="90" w:type="dxa"/>
            </w:tcMar>
          </w:tcPr>
          <w:p>
            <w:pPr>
              <w:spacing w:after="20"/>
            </w:pPr>
            <w:r>
              <w:rPr>
                <w:sz w:val="16"/>
              </w:rPr>
              <w:t>PoC-validated</w:t>
            </w:r>
          </w:p>
        </w:tc>
        <w:tc>
          <w:tcPr>
            <w:tcW w:type="dxa" w:w="3458"/>
            <w:vAlign w:val="top"/>
            <w:tcMar>
              <w:top w:w="70" w:type="dxa"/>
              <w:start w:w="90" w:type="dxa"/>
              <w:bottom w:w="70" w:type="dxa"/>
              <w:end w:w="90" w:type="dxa"/>
            </w:tcMar>
          </w:tcPr>
          <w:p>
            <w:pPr>
              <w:spacing w:after="20"/>
            </w:pPr>
            <w:r>
              <w:rPr>
                <w:sz w:val="16"/>
              </w:rPr>
              <w:t>Supported in tested active paths.</w:t>
            </w:r>
          </w:p>
        </w:tc>
      </w:tr>
      <w:tr>
        <w:trPr>
          <w:cantSplit/>
        </w:trPr>
        <w:tc>
          <w:tcPr>
            <w:tcW w:type="dxa" w:w="3685"/>
            <w:vAlign w:val="top"/>
            <w:tcMar>
              <w:top w:w="70" w:type="dxa"/>
              <w:start w:w="90" w:type="dxa"/>
              <w:bottom w:w="70" w:type="dxa"/>
              <w:end w:w="90" w:type="dxa"/>
            </w:tcMar>
          </w:tcPr>
          <w:p>
            <w:pPr>
              <w:spacing w:after="20"/>
            </w:pPr>
            <w:r>
              <w:rPr>
                <w:sz w:val="16"/>
              </w:rPr>
              <w:t>Zero Freshness-only traffic while the application is idle</w:t>
            </w:r>
          </w:p>
        </w:tc>
        <w:tc>
          <w:tcPr>
            <w:tcW w:type="dxa" w:w="1928"/>
            <w:vAlign w:val="top"/>
            <w:tcMar>
              <w:top w:w="70" w:type="dxa"/>
              <w:start w:w="90" w:type="dxa"/>
              <w:bottom w:w="70" w:type="dxa"/>
              <w:end w:w="90" w:type="dxa"/>
            </w:tcMar>
          </w:tcPr>
          <w:p>
            <w:pPr>
              <w:spacing w:after="20"/>
            </w:pPr>
            <w:r>
              <w:rPr>
                <w:sz w:val="16"/>
              </w:rPr>
              <w:t>PoC-validated</w:t>
            </w:r>
          </w:p>
        </w:tc>
        <w:tc>
          <w:tcPr>
            <w:tcW w:type="dxa" w:w="3458"/>
            <w:vAlign w:val="top"/>
            <w:tcMar>
              <w:top w:w="70" w:type="dxa"/>
              <w:start w:w="90" w:type="dxa"/>
              <w:bottom w:w="70" w:type="dxa"/>
              <w:end w:w="90" w:type="dxa"/>
            </w:tcMar>
          </w:tcPr>
          <w:p>
            <w:pPr>
              <w:spacing w:after="20"/>
            </w:pPr>
            <w:r>
              <w:rPr>
                <w:sz w:val="16"/>
              </w:rPr>
              <w:t>Supported for tested 5 s idle interval.</w:t>
            </w:r>
          </w:p>
        </w:tc>
      </w:tr>
      <w:tr>
        <w:trPr>
          <w:cantSplit/>
        </w:trPr>
        <w:tc>
          <w:tcPr>
            <w:tcW w:type="dxa" w:w="3685"/>
            <w:vAlign w:val="top"/>
            <w:tcMar>
              <w:top w:w="70" w:type="dxa"/>
              <w:start w:w="90" w:type="dxa"/>
              <w:bottom w:w="70" w:type="dxa"/>
              <w:end w:w="90" w:type="dxa"/>
            </w:tcMar>
          </w:tcPr>
          <w:p>
            <w:pPr>
              <w:spacing w:after="20"/>
            </w:pPr>
            <w:r>
              <w:rPr>
                <w:sz w:val="16"/>
              </w:rPr>
              <w:t>No per-client subscription state is required</w:t>
            </w:r>
          </w:p>
        </w:tc>
        <w:tc>
          <w:tcPr>
            <w:tcW w:type="dxa" w:w="1928"/>
            <w:vAlign w:val="top"/>
            <w:tcMar>
              <w:top w:w="70" w:type="dxa"/>
              <w:start w:w="90" w:type="dxa"/>
              <w:bottom w:w="70" w:type="dxa"/>
              <w:end w:w="90" w:type="dxa"/>
            </w:tcMar>
          </w:tcPr>
          <w:p>
            <w:pPr>
              <w:spacing w:after="20"/>
            </w:pPr>
            <w:r>
              <w:rPr>
                <w:sz w:val="16"/>
              </w:rPr>
              <w:t>PoC-validated</w:t>
            </w:r>
          </w:p>
        </w:tc>
        <w:tc>
          <w:tcPr>
            <w:tcW w:type="dxa" w:w="3458"/>
            <w:vAlign w:val="top"/>
            <w:tcMar>
              <w:top w:w="70" w:type="dxa"/>
              <w:start w:w="90" w:type="dxa"/>
              <w:bottom w:w="70" w:type="dxa"/>
              <w:end w:w="90" w:type="dxa"/>
            </w:tcMar>
          </w:tcPr>
          <w:p>
            <w:pPr>
              <w:spacing w:after="20"/>
            </w:pPr>
            <w:r>
              <w:rPr>
                <w:sz w:val="16"/>
              </w:rPr>
              <w:t>Supported by bounded-history/cursor model test.</w:t>
            </w:r>
          </w:p>
        </w:tc>
      </w:tr>
      <w:tr>
        <w:trPr>
          <w:cantSplit/>
        </w:trPr>
        <w:tc>
          <w:tcPr>
            <w:tcW w:type="dxa" w:w="3685"/>
            <w:vAlign w:val="top"/>
            <w:tcMar>
              <w:top w:w="70" w:type="dxa"/>
              <w:start w:w="90" w:type="dxa"/>
              <w:bottom w:w="70" w:type="dxa"/>
              <w:end w:w="90" w:type="dxa"/>
            </w:tcMar>
          </w:tcPr>
          <w:p>
            <w:pPr>
              <w:spacing w:after="20"/>
            </w:pPr>
            <w:r>
              <w:rPr>
                <w:sz w:val="16"/>
              </w:rPr>
              <w:t>DNSSEC can bootstrap and reset Freshness trust</w:t>
            </w:r>
          </w:p>
        </w:tc>
        <w:tc>
          <w:tcPr>
            <w:tcW w:type="dxa" w:w="1928"/>
            <w:vAlign w:val="top"/>
            <w:tcMar>
              <w:top w:w="70" w:type="dxa"/>
              <w:start w:w="90" w:type="dxa"/>
              <w:bottom w:w="70" w:type="dxa"/>
              <w:end w:w="90" w:type="dxa"/>
            </w:tcMar>
          </w:tcPr>
          <w:p>
            <w:pPr>
              <w:spacing w:after="20"/>
            </w:pPr>
            <w:r>
              <w:rPr>
                <w:sz w:val="16"/>
              </w:rPr>
              <w:t>PoC-validated</w:t>
            </w:r>
          </w:p>
        </w:tc>
        <w:tc>
          <w:tcPr>
            <w:tcW w:type="dxa" w:w="3458"/>
            <w:vAlign w:val="top"/>
            <w:tcMar>
              <w:top w:w="70" w:type="dxa"/>
              <w:start w:w="90" w:type="dxa"/>
              <w:bottom w:w="70" w:type="dxa"/>
              <w:end w:w="90" w:type="dxa"/>
            </w:tcMar>
          </w:tcPr>
          <w:p>
            <w:pPr>
              <w:spacing w:after="20"/>
            </w:pPr>
            <w:r>
              <w:rPr>
                <w:sz w:val="16"/>
              </w:rPr>
              <w:t>Supported in isolated signed hierarchy.</w:t>
            </w:r>
          </w:p>
        </w:tc>
      </w:tr>
      <w:tr>
        <w:trPr>
          <w:cantSplit/>
        </w:trPr>
        <w:tc>
          <w:tcPr>
            <w:tcW w:type="dxa" w:w="3685"/>
            <w:vAlign w:val="top"/>
            <w:tcMar>
              <w:top w:w="70" w:type="dxa"/>
              <w:start w:w="90" w:type="dxa"/>
              <w:bottom w:w="70" w:type="dxa"/>
              <w:end w:w="90" w:type="dxa"/>
            </w:tcMar>
          </w:tcPr>
          <w:p>
            <w:pPr>
              <w:spacing w:after="20"/>
            </w:pPr>
            <w:r>
              <w:rPr>
                <w:sz w:val="16"/>
              </w:rPr>
              <w:t>A surviving application path can repair endpoint state</w:t>
            </w:r>
          </w:p>
        </w:tc>
        <w:tc>
          <w:tcPr>
            <w:tcW w:type="dxa" w:w="1928"/>
            <w:vAlign w:val="top"/>
            <w:tcMar>
              <w:top w:w="70" w:type="dxa"/>
              <w:start w:w="90" w:type="dxa"/>
              <w:bottom w:w="70" w:type="dxa"/>
              <w:end w:w="90" w:type="dxa"/>
            </w:tcMar>
          </w:tcPr>
          <w:p>
            <w:pPr>
              <w:spacing w:after="20"/>
            </w:pPr>
            <w:r>
              <w:rPr>
                <w:sz w:val="16"/>
              </w:rPr>
              <w:t>PoC-validated</w:t>
            </w:r>
          </w:p>
        </w:tc>
        <w:tc>
          <w:tcPr>
            <w:tcW w:type="dxa" w:w="3458"/>
            <w:vAlign w:val="top"/>
            <w:tcMar>
              <w:top w:w="70" w:type="dxa"/>
              <w:start w:w="90" w:type="dxa"/>
              <w:bottom w:w="70" w:type="dxa"/>
              <w:end w:w="90" w:type="dxa"/>
            </w:tcMar>
          </w:tcPr>
          <w:p>
            <w:pPr>
              <w:spacing w:after="20"/>
            </w:pPr>
            <w:r>
              <w:rPr>
                <w:sz w:val="16"/>
              </w:rPr>
              <w:t>Supported by state model and Chromium .61 -&gt; .12 cutover.</w:t>
            </w:r>
          </w:p>
        </w:tc>
      </w:tr>
      <w:tr>
        <w:trPr>
          <w:cantSplit/>
        </w:trPr>
        <w:tc>
          <w:tcPr>
            <w:tcW w:type="dxa" w:w="3685"/>
            <w:vAlign w:val="top"/>
            <w:tcMar>
              <w:top w:w="70" w:type="dxa"/>
              <w:start w:w="90" w:type="dxa"/>
              <w:bottom w:w="70" w:type="dxa"/>
              <w:end w:w="90" w:type="dxa"/>
            </w:tcMar>
          </w:tcPr>
          <w:p>
            <w:pPr>
              <w:spacing w:after="20"/>
            </w:pPr>
            <w:r>
              <w:rPr>
                <w:sz w:val="16"/>
              </w:rPr>
              <w:t>Active Freshness can outlive the original bootstrap TTL</w:t>
            </w:r>
          </w:p>
        </w:tc>
        <w:tc>
          <w:tcPr>
            <w:tcW w:type="dxa" w:w="1928"/>
            <w:vAlign w:val="top"/>
            <w:tcMar>
              <w:top w:w="70" w:type="dxa"/>
              <w:start w:w="90" w:type="dxa"/>
              <w:bottom w:w="70" w:type="dxa"/>
              <w:end w:w="90" w:type="dxa"/>
            </w:tcMar>
          </w:tcPr>
          <w:p>
            <w:pPr>
              <w:spacing w:after="20"/>
            </w:pPr>
            <w:r>
              <w:rPr>
                <w:sz w:val="16"/>
              </w:rPr>
              <w:t>Design + tested lease semantics</w:t>
            </w:r>
          </w:p>
        </w:tc>
        <w:tc>
          <w:tcPr>
            <w:tcW w:type="dxa" w:w="3458"/>
            <w:vAlign w:val="top"/>
            <w:tcMar>
              <w:top w:w="70" w:type="dxa"/>
              <w:start w:w="90" w:type="dxa"/>
              <w:bottom w:w="70" w:type="dxa"/>
              <w:end w:w="90" w:type="dxa"/>
            </w:tcMar>
          </w:tcPr>
          <w:p>
            <w:pPr>
              <w:spacing w:after="20"/>
            </w:pPr>
            <w:r>
              <w:rPr>
                <w:sz w:val="16"/>
              </w:rPr>
              <w:t>Supported within signed validity interval; not indefinite.</w:t>
            </w:r>
          </w:p>
        </w:tc>
      </w:tr>
      <w:tr>
        <w:trPr>
          <w:cantSplit/>
        </w:trPr>
        <w:tc>
          <w:tcPr>
            <w:tcW w:type="dxa" w:w="3685"/>
            <w:vAlign w:val="top"/>
            <w:tcMar>
              <w:top w:w="70" w:type="dxa"/>
              <w:start w:w="90" w:type="dxa"/>
              <w:bottom w:w="70" w:type="dxa"/>
              <w:end w:w="90" w:type="dxa"/>
            </w:tcMar>
          </w:tcPr>
          <w:p>
            <w:pPr>
              <w:spacing w:after="20"/>
            </w:pPr>
            <w:r>
              <w:rPr>
                <w:sz w:val="16"/>
              </w:rPr>
              <w:t>Every normal HTTP request becomes substantially faster</w:t>
            </w:r>
          </w:p>
        </w:tc>
        <w:tc>
          <w:tcPr>
            <w:tcW w:type="dxa" w:w="1928"/>
            <w:vAlign w:val="top"/>
            <w:tcMar>
              <w:top w:w="70" w:type="dxa"/>
              <w:start w:w="90" w:type="dxa"/>
              <w:bottom w:w="70" w:type="dxa"/>
              <w:end w:w="90" w:type="dxa"/>
            </w:tcMar>
          </w:tcPr>
          <w:p>
            <w:pPr>
              <w:spacing w:after="20"/>
            </w:pPr>
            <w:r>
              <w:rPr>
                <w:sz w:val="16"/>
              </w:rPr>
              <w:t>Not supported</w:t>
            </w:r>
          </w:p>
        </w:tc>
        <w:tc>
          <w:tcPr>
            <w:tcW w:type="dxa" w:w="3458"/>
            <w:vAlign w:val="top"/>
            <w:tcMar>
              <w:top w:w="70" w:type="dxa"/>
              <w:start w:w="90" w:type="dxa"/>
              <w:bottom w:w="70" w:type="dxa"/>
              <w:end w:w="90" w:type="dxa"/>
            </w:tcMar>
          </w:tcPr>
          <w:p>
            <w:pPr>
              <w:spacing w:after="20"/>
            </w:pPr>
            <w:r>
              <w:rPr>
                <w:sz w:val="16"/>
              </w:rPr>
              <w:t>False framing. Warm cache-hit requests are expected to be roughly unchanged apart from cursor/processing cost.</w:t>
            </w:r>
          </w:p>
        </w:tc>
      </w:tr>
      <w:tr>
        <w:trPr>
          <w:cantSplit/>
        </w:trPr>
        <w:tc>
          <w:tcPr>
            <w:tcW w:type="dxa" w:w="3685"/>
            <w:vAlign w:val="top"/>
            <w:tcMar>
              <w:top w:w="70" w:type="dxa"/>
              <w:start w:w="90" w:type="dxa"/>
              <w:bottom w:w="70" w:type="dxa"/>
              <w:end w:w="90" w:type="dxa"/>
            </w:tcMar>
          </w:tcPr>
          <w:p>
            <w:pPr>
              <w:spacing w:after="20"/>
            </w:pPr>
            <w:r>
              <w:rPr>
                <w:sz w:val="16"/>
              </w:rPr>
              <w:t>Classic recovery is exactly X ms slower than Freshness</w:t>
            </w:r>
          </w:p>
        </w:tc>
        <w:tc>
          <w:tcPr>
            <w:tcW w:type="dxa" w:w="1928"/>
            <w:vAlign w:val="top"/>
            <w:tcMar>
              <w:top w:w="70" w:type="dxa"/>
              <w:start w:w="90" w:type="dxa"/>
              <w:bottom w:w="70" w:type="dxa"/>
              <w:end w:w="90" w:type="dxa"/>
            </w:tcMar>
          </w:tcPr>
          <w:p>
            <w:pPr>
              <w:spacing w:after="20"/>
            </w:pPr>
            <w:r>
              <w:rPr>
                <w:sz w:val="16"/>
              </w:rPr>
              <w:t>Not measured</w:t>
            </w:r>
          </w:p>
        </w:tc>
        <w:tc>
          <w:tcPr>
            <w:tcW w:type="dxa" w:w="3458"/>
            <w:vAlign w:val="top"/>
            <w:tcMar>
              <w:top w:w="70" w:type="dxa"/>
              <w:start w:w="90" w:type="dxa"/>
              <w:bottom w:w="70" w:type="dxa"/>
              <w:end w:w="90" w:type="dxa"/>
            </w:tcMar>
          </w:tcPr>
          <w:p>
            <w:pPr>
              <w:spacing w:after="20"/>
            </w:pPr>
            <w:r>
              <w:rPr>
                <w:sz w:val="16"/>
              </w:rPr>
              <w:t>Direct fullstack Chromium Classic hard-cutover latency benchmark was not completed.</w:t>
            </w:r>
          </w:p>
        </w:tc>
      </w:tr>
      <w:tr>
        <w:trPr>
          <w:cantSplit/>
        </w:trPr>
        <w:tc>
          <w:tcPr>
            <w:tcW w:type="dxa" w:w="3685"/>
            <w:vAlign w:val="top"/>
            <w:tcMar>
              <w:top w:w="70" w:type="dxa"/>
              <w:start w:w="90" w:type="dxa"/>
              <w:bottom w:w="70" w:type="dxa"/>
              <w:end w:w="90" w:type="dxa"/>
            </w:tcMar>
          </w:tcPr>
          <w:p>
            <w:pPr>
              <w:spacing w:after="20"/>
            </w:pPr>
            <w:r>
              <w:rPr>
                <w:sz w:val="16"/>
              </w:rPr>
              <w:t>Internet-scale / production-ready / universal superiority</w:t>
            </w:r>
          </w:p>
        </w:tc>
        <w:tc>
          <w:tcPr>
            <w:tcW w:type="dxa" w:w="1928"/>
            <w:vAlign w:val="top"/>
            <w:tcMar>
              <w:top w:w="70" w:type="dxa"/>
              <w:start w:w="90" w:type="dxa"/>
              <w:bottom w:w="70" w:type="dxa"/>
              <w:end w:w="90" w:type="dxa"/>
            </w:tcMar>
          </w:tcPr>
          <w:p>
            <w:pPr>
              <w:spacing w:after="20"/>
            </w:pPr>
            <w:r>
              <w:rPr>
                <w:sz w:val="16"/>
              </w:rPr>
              <w:t>External validation required</w:t>
            </w:r>
          </w:p>
        </w:tc>
        <w:tc>
          <w:tcPr>
            <w:tcW w:type="dxa" w:w="3458"/>
            <w:vAlign w:val="top"/>
            <w:tcMar>
              <w:top w:w="70" w:type="dxa"/>
              <w:start w:w="90" w:type="dxa"/>
              <w:bottom w:w="70" w:type="dxa"/>
              <w:end w:w="90" w:type="dxa"/>
            </w:tcMar>
          </w:tcPr>
          <w:p>
            <w:pPr>
              <w:spacing w:after="20"/>
            </w:pPr>
            <w:r>
              <w:rPr>
                <w:sz w:val="16"/>
              </w:rPr>
              <w:t>Not supported by local PoC.</w:t>
            </w:r>
          </w:p>
        </w:tc>
      </w:tr>
    </w:tbl>
    <w:p>
      <w:pPr>
        <w:spacing w:after="0"/>
      </w:pPr>
    </w:p>
    <w:p>
      <w:pPr>
        <w:pStyle w:val="Heading1"/>
      </w:pPr>
      <w:r>
        <w:t>12. External Reproduction and Falsification Plan</w:t>
      </w:r>
    </w:p>
    <w:p>
      <w:r>
        <w:t>The local lab has reached the point where the highest-value work is external validation rather than more self-contained happy-path gates. A production-grade networking team should attempt to reproduce the core result and deliberately attack the assumptions below.</w:t>
      </w:r>
    </w:p>
    <w:p>
      <w:pPr>
        <w:pStyle w:val="ListNumber"/>
        <w:spacing w:after="40"/>
      </w:pPr>
      <w:r>
        <w:t>Apply a clean Chromium patch against a pinned revision and reproduce the DNSSEC bootstrap -&gt; Snapshot -&gt; Delta -&gt; hard cutover sequence.</w:t>
      </w:r>
    </w:p>
    <w:p>
      <w:pPr>
        <w:pStyle w:val="ListNumber"/>
        <w:spacing w:after="40"/>
      </w:pPr>
      <w:r>
        <w:t>Repeat on Firefox/Necko and WebKit/NetworkProcess or another independent resolver/browser stack.</w:t>
      </w:r>
    </w:p>
    <w:p>
      <w:pPr>
        <w:pStyle w:val="ListNumber"/>
        <w:spacing w:after="40"/>
      </w:pPr>
      <w:r>
        <w:t>Exercise real CDN/edge topologies, reverse proxies, HTTP field normalization/stripping, WAFs, service meshes and anycast.</w:t>
      </w:r>
    </w:p>
    <w:p>
      <w:pPr>
        <w:pStyle w:val="ListNumber"/>
        <w:spacing w:after="40"/>
      </w:pPr>
      <w:r>
        <w:t>Test QUIC migration, 0-RTT, connection coalescing, alt-svc changes, multiple concurrent H2/H3 streams and response reordering.</w:t>
      </w:r>
    </w:p>
    <w:p>
      <w:pPr>
        <w:pStyle w:val="ListNumber"/>
        <w:spacing w:after="40"/>
      </w:pPr>
      <w:r>
        <w:t>Measure large working sets, scope churn, history truncation, update storms and bounded resource behavior under adversarial inputs.</w:t>
      </w:r>
    </w:p>
    <w:p>
      <w:pPr>
        <w:pStyle w:val="ListNumber"/>
        <w:spacing w:after="40"/>
      </w:pPr>
      <w:r>
        <w:t>Quantify the hard-discontinuity rate and overlap window: how often all previously authorized paths disappear before a signed transition can be learned, versus rolling/draining/partial-change cases in which at least one path survives long enough to reconcile state.</w:t>
      </w:r>
    </w:p>
    <w:p>
      <w:pPr>
        <w:pStyle w:val="ListNumber"/>
        <w:spacing w:after="40"/>
      </w:pPr>
      <w:r>
        <w:t>Run direct end-to-end Classic DNS/TTL vs Freshness recovery measurements in a production-grade browser harness, including long-TTL stale mappings, resolver prefetch behavior, explicit 30 s / 60 s short-TTL baselines, and Alt-Svc + HTTPS/SVCB where applicable. Measure not only request latency but population-wide DNS query volume over change windows and varying client activity ratios.</w:t>
      </w:r>
    </w:p>
    <w:p>
      <w:pPr>
        <w:pStyle w:val="ListNumber"/>
        <w:spacing w:after="40"/>
      </w:pPr>
      <w:r>
        <w:t>Measure CPU, memory, cryptographic verification cost, cursor compression/QPACK effects and battery impact on mobile devices.</w:t>
      </w:r>
    </w:p>
    <w:p>
      <w:pPr>
        <w:pStyle w:val="ListNumber"/>
        <w:spacing w:after="40"/>
      </w:pPr>
      <w:r>
        <w:t>Simulate clock skew, root/operational key compromise, replay windows and emergency DNSSEC root resets.</w:t>
      </w:r>
    </w:p>
    <w:p>
      <w:pPr>
        <w:pStyle w:val="ListNumber"/>
        <w:spacing w:after="40"/>
      </w:pPr>
      <w:r>
        <w:t>Attempt to dominate the proposal with simpler existing mechanisms: Alt-Svc, HTTPS/SVCB, short TTLs, resolver prefetch, and combinations of them. If they provide the same convergence/recovery benefit with materially less state, trust machinery, or implementation complexity, the proposal should be rejected or narrowed.</w:t>
      </w:r>
    </w:p>
    <w:tbl>
      <w:tblPr>
        <w:tblW w:type="auto" w:w="0"/>
        <w:jc w:val="center"/>
        <w:tblLayout w:type="autofit"/>
        <w:tblLook w:firstColumn="1" w:firstRow="1" w:lastColumn="0" w:lastRow="0" w:noHBand="0" w:noVBand="1" w:val="04A0"/>
      </w:tblPr>
      <w:tblGrid>
        <w:gridCol w:w="10200"/>
      </w:tblGrid>
      <w:tr>
        <w:trPr>
          <w:cantSplit/>
        </w:trPr>
        <w:tc>
          <w:tcPr>
            <w:tcW w:type="dxa" w:w="10200"/>
            <w:shd w:fill="EEF2F6"/>
            <w:tcMar>
              <w:top w:w="120" w:type="dxa"/>
              <w:start w:w="140" w:type="dxa"/>
              <w:bottom w:w="120" w:type="dxa"/>
              <w:end w:w="140" w:type="dxa"/>
            </w:tcMar>
          </w:tcPr>
          <w:p>
            <w:pPr>
              <w:spacing w:after="80"/>
            </w:pPr>
            <w:r>
              <w:rPr>
                <w:b/>
                <w:sz w:val="23"/>
              </w:rPr>
              <w:t>Recommended kill criteria</w:t>
            </w:r>
          </w:p>
          <w:p>
            <w:pPr>
              <w:spacing w:after="0" w:line="252" w:lineRule="auto"/>
            </w:pPr>
            <w:r>
              <w:rPr>
                <w:sz w:val="18"/>
              </w:rPr>
              <w:t>Reject or redesign the approach if independent testing shows that it commonly adds a network RTT, cannot preserve trust/view boundaries through real intermediaries, creates unbounded client/server state, or is dominated by a simpler existing mechanism in the same operating point. In particular, the broad proposal fails if real services rarely retain an authorized overlap path long enough to deliver useful pre-failure reconciliation, or if Alt-Svc/HTTPS-SVCB plus conventional short-TTL/prefetch policy achieves comparable convergence and failure recovery with materially less complexity and without materially greater population-wide DNS work.</w:t>
            </w:r>
          </w:p>
        </w:tc>
      </w:tr>
    </w:tbl>
    <w:p>
      <w:pPr>
        <w:spacing w:after="0"/>
      </w:pPr>
    </w:p>
    <w:p>
      <w:pPr>
        <w:pStyle w:val="Heading1"/>
      </w:pPr>
      <w:r>
        <w:t>13. Recommended External Research Package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005"/>
            <w:shd w:fill="D9E2F3"/>
            <w:vAlign w:val="center"/>
            <w:tcMar>
              <w:top w:w="70" w:type="dxa"/>
              <w:start w:w="90" w:type="dxa"/>
              <w:bottom w:w="70" w:type="dxa"/>
              <w:end w:w="90" w:type="dxa"/>
            </w:tcMar>
          </w:tcPr>
          <w:p>
            <w:r>
              <w:rPr>
                <w:b/>
                <w:sz w:val="17"/>
              </w:rPr>
              <w:t>Artifact</w:t>
            </w:r>
          </w:p>
        </w:tc>
        <w:tc>
          <w:tcPr>
            <w:tcW w:type="dxa" w:w="6066"/>
            <w:shd w:fill="D9E2F3"/>
            <w:vAlign w:val="center"/>
            <w:tcMar>
              <w:top w:w="70" w:type="dxa"/>
              <w:start w:w="90" w:type="dxa"/>
              <w:bottom w:w="70" w:type="dxa"/>
              <w:end w:w="90" w:type="dxa"/>
            </w:tcMar>
          </w:tcPr>
          <w:p>
            <w:r>
              <w:rPr>
                <w:b/>
                <w:sz w:val="17"/>
              </w:rPr>
              <w:t>Purpose</w:t>
            </w:r>
          </w:p>
        </w:tc>
      </w:tr>
      <w:tr>
        <w:trPr>
          <w:cantSplit/>
        </w:trPr>
        <w:tc>
          <w:tcPr>
            <w:tcW w:type="dxa" w:w="3005"/>
            <w:vAlign w:val="top"/>
            <w:tcMar>
              <w:top w:w="70" w:type="dxa"/>
              <w:start w:w="90" w:type="dxa"/>
              <w:bottom w:w="70" w:type="dxa"/>
              <w:end w:w="90" w:type="dxa"/>
            </w:tcMar>
          </w:tcPr>
          <w:p>
            <w:pPr>
              <w:spacing w:after="20"/>
            </w:pPr>
            <w:r>
              <w:rPr>
                <w:sz w:val="17"/>
              </w:rPr>
              <w:t>README / Technical Evidence Report</w:t>
            </w:r>
          </w:p>
        </w:tc>
        <w:tc>
          <w:tcPr>
            <w:tcW w:type="dxa" w:w="6066"/>
            <w:vAlign w:val="top"/>
            <w:tcMar>
              <w:top w:w="70" w:type="dxa"/>
              <w:start w:w="90" w:type="dxa"/>
              <w:bottom w:w="70" w:type="dxa"/>
              <w:end w:w="90" w:type="dxa"/>
            </w:tcMar>
          </w:tcPr>
          <w:p>
            <w:pPr>
              <w:spacing w:after="20"/>
            </w:pPr>
            <w:r>
              <w:rPr>
                <w:sz w:val="17"/>
              </w:rPr>
              <w:t>Problem, architecture, evidence classes, key results and claim boundaries.</w:t>
            </w:r>
          </w:p>
        </w:tc>
      </w:tr>
      <w:tr>
        <w:trPr>
          <w:cantSplit/>
        </w:trPr>
        <w:tc>
          <w:tcPr>
            <w:tcW w:type="dxa" w:w="3005"/>
            <w:vAlign w:val="top"/>
            <w:tcMar>
              <w:top w:w="70" w:type="dxa"/>
              <w:start w:w="90" w:type="dxa"/>
              <w:bottom w:w="70" w:type="dxa"/>
              <w:end w:w="90" w:type="dxa"/>
            </w:tcMar>
          </w:tcPr>
          <w:p>
            <w:pPr>
              <w:spacing w:after="20"/>
            </w:pPr>
            <w:r>
              <w:rPr>
                <w:sz w:val="17"/>
              </w:rPr>
              <w:t>chromium-freshness-v0.1.patch</w:t>
            </w:r>
          </w:p>
        </w:tc>
        <w:tc>
          <w:tcPr>
            <w:tcW w:type="dxa" w:w="6066"/>
            <w:vAlign w:val="top"/>
            <w:tcMar>
              <w:top w:w="70" w:type="dxa"/>
              <w:start w:w="90" w:type="dxa"/>
              <w:bottom w:w="70" w:type="dxa"/>
              <w:end w:w="90" w:type="dxa"/>
            </w:tcMar>
          </w:tcPr>
          <w:p>
            <w:pPr>
              <w:spacing w:after="20"/>
            </w:pPr>
            <w:r>
              <w:rPr>
                <w:sz w:val="17"/>
              </w:rPr>
              <w:t>Minimal reproducible diff against a pinned Chromium revision, ideally behind a feature flag.</w:t>
            </w:r>
          </w:p>
        </w:tc>
      </w:tr>
      <w:tr>
        <w:trPr>
          <w:cantSplit/>
        </w:trPr>
        <w:tc>
          <w:tcPr>
            <w:tcW w:type="dxa" w:w="3005"/>
            <w:vAlign w:val="top"/>
            <w:tcMar>
              <w:top w:w="70" w:type="dxa"/>
              <w:start w:w="90" w:type="dxa"/>
              <w:bottom w:w="70" w:type="dxa"/>
              <w:end w:w="90" w:type="dxa"/>
            </w:tcMar>
          </w:tcPr>
          <w:p>
            <w:pPr>
              <w:spacing w:after="20"/>
            </w:pPr>
            <w:r>
              <w:rPr>
                <w:sz w:val="17"/>
              </w:rPr>
              <w:t>docker-compose / lab topology</w:t>
            </w:r>
          </w:p>
        </w:tc>
        <w:tc>
          <w:tcPr>
            <w:tcW w:type="dxa" w:w="6066"/>
            <w:vAlign w:val="top"/>
            <w:tcMar>
              <w:top w:w="70" w:type="dxa"/>
              <w:start w:w="90" w:type="dxa"/>
              <w:bottom w:w="70" w:type="dxa"/>
              <w:end w:w="90" w:type="dxa"/>
            </w:tcMar>
          </w:tcPr>
          <w:p>
            <w:pPr>
              <w:spacing w:after="20"/>
            </w:pPr>
            <w:r>
              <w:rPr>
                <w:sz w:val="17"/>
              </w:rPr>
              <w:t>Authority, validating resolver / Secure DoH, H3 endpoints and control network.</w:t>
            </w:r>
          </w:p>
        </w:tc>
      </w:tr>
      <w:tr>
        <w:trPr>
          <w:cantSplit/>
        </w:trPr>
        <w:tc>
          <w:tcPr>
            <w:tcW w:type="dxa" w:w="3005"/>
            <w:vAlign w:val="top"/>
            <w:tcMar>
              <w:top w:w="70" w:type="dxa"/>
              <w:start w:w="90" w:type="dxa"/>
              <w:bottom w:w="70" w:type="dxa"/>
              <w:end w:w="90" w:type="dxa"/>
            </w:tcMar>
          </w:tcPr>
          <w:p>
            <w:pPr>
              <w:spacing w:after="20"/>
            </w:pPr>
            <w:r>
              <w:rPr>
                <w:sz w:val="17"/>
              </w:rPr>
              <w:t>run-zero-dns-cutover.sh</w:t>
            </w:r>
          </w:p>
        </w:tc>
        <w:tc>
          <w:tcPr>
            <w:tcW w:type="dxa" w:w="6066"/>
            <w:vAlign w:val="top"/>
            <w:tcMar>
              <w:top w:w="70" w:type="dxa"/>
              <w:start w:w="90" w:type="dxa"/>
              <w:bottom w:w="70" w:type="dxa"/>
              <w:end w:w="90" w:type="dxa"/>
            </w:tcMar>
          </w:tcPr>
          <w:p>
            <w:pPr>
              <w:spacing w:after="20"/>
            </w:pPr>
            <w:r>
              <w:rPr>
                <w:sz w:val="17"/>
              </w:rPr>
              <w:t>Single-command reproduction of the .61 -&gt; .12 hard cutover and zero-target-DNS proof.</w:t>
            </w:r>
          </w:p>
        </w:tc>
      </w:tr>
      <w:tr>
        <w:trPr>
          <w:cantSplit/>
        </w:trPr>
        <w:tc>
          <w:tcPr>
            <w:tcW w:type="dxa" w:w="3005"/>
            <w:vAlign w:val="top"/>
            <w:tcMar>
              <w:top w:w="70" w:type="dxa"/>
              <w:start w:w="90" w:type="dxa"/>
              <w:bottom w:w="70" w:type="dxa"/>
              <w:end w:w="90" w:type="dxa"/>
            </w:tcMar>
          </w:tcPr>
          <w:p>
            <w:pPr>
              <w:spacing w:after="20"/>
            </w:pPr>
            <w:r>
              <w:rPr>
                <w:sz w:val="17"/>
              </w:rPr>
              <w:t>run-wire-benchmark.sh</w:t>
            </w:r>
          </w:p>
        </w:tc>
        <w:tc>
          <w:tcPr>
            <w:tcW w:type="dxa" w:w="6066"/>
            <w:vAlign w:val="top"/>
            <w:tcMar>
              <w:top w:w="70" w:type="dxa"/>
              <w:start w:w="90" w:type="dxa"/>
              <w:bottom w:w="70" w:type="dxa"/>
              <w:end w:w="90" w:type="dxa"/>
            </w:tcMar>
          </w:tcPr>
          <w:p>
            <w:pPr>
              <w:spacing w:after="20"/>
            </w:pPr>
            <w:r>
              <w:rPr>
                <w:sz w:val="17"/>
              </w:rPr>
              <w:t>Paired Delta vs NoChange capture and byte accounting.</w:t>
            </w:r>
          </w:p>
        </w:tc>
      </w:tr>
      <w:tr>
        <w:trPr>
          <w:cantSplit/>
        </w:trPr>
        <w:tc>
          <w:tcPr>
            <w:tcW w:type="dxa" w:w="3005"/>
            <w:vAlign w:val="top"/>
            <w:tcMar>
              <w:top w:w="70" w:type="dxa"/>
              <w:start w:w="90" w:type="dxa"/>
              <w:bottom w:w="70" w:type="dxa"/>
              <w:end w:w="90" w:type="dxa"/>
            </w:tcMar>
          </w:tcPr>
          <w:p>
            <w:pPr>
              <w:spacing w:after="20"/>
            </w:pPr>
            <w:r>
              <w:rPr>
                <w:sz w:val="17"/>
              </w:rPr>
              <w:t>run-100-reps.sh</w:t>
            </w:r>
          </w:p>
        </w:tc>
        <w:tc>
          <w:tcPr>
            <w:tcW w:type="dxa" w:w="6066"/>
            <w:vAlign w:val="top"/>
            <w:tcMar>
              <w:top w:w="70" w:type="dxa"/>
              <w:start w:w="90" w:type="dxa"/>
              <w:bottom w:w="70" w:type="dxa"/>
              <w:end w:w="90" w:type="dxa"/>
            </w:tcMar>
          </w:tcPr>
          <w:p>
            <w:pPr>
              <w:spacing w:after="20"/>
            </w:pPr>
            <w:r>
              <w:rPr>
                <w:sz w:val="17"/>
              </w:rPr>
              <w:t>Paired latency benchmark with frozen summary statistics.</w:t>
            </w:r>
          </w:p>
        </w:tc>
      </w:tr>
      <w:tr>
        <w:trPr>
          <w:cantSplit/>
        </w:trPr>
        <w:tc>
          <w:tcPr>
            <w:tcW w:type="dxa" w:w="3005"/>
            <w:vAlign w:val="top"/>
            <w:tcMar>
              <w:top w:w="70" w:type="dxa"/>
              <w:start w:w="90" w:type="dxa"/>
              <w:bottom w:w="70" w:type="dxa"/>
              <w:end w:w="90" w:type="dxa"/>
            </w:tcMar>
          </w:tcPr>
          <w:p>
            <w:pPr>
              <w:spacing w:after="20"/>
            </w:pPr>
            <w:r>
              <w:rPr>
                <w:sz w:val="17"/>
              </w:rPr>
              <w:t>FALSIFICATION.md</w:t>
            </w:r>
          </w:p>
        </w:tc>
        <w:tc>
          <w:tcPr>
            <w:tcW w:type="dxa" w:w="6066"/>
            <w:vAlign w:val="top"/>
            <w:tcMar>
              <w:top w:w="70" w:type="dxa"/>
              <w:start w:w="90" w:type="dxa"/>
              <w:bottom w:w="70" w:type="dxa"/>
              <w:end w:w="90" w:type="dxa"/>
            </w:tcMar>
          </w:tcPr>
          <w:p>
            <w:pPr>
              <w:spacing w:after="20"/>
            </w:pPr>
            <w:r>
              <w:rPr>
                <w:sz w:val="17"/>
              </w:rPr>
              <w:t>Explicit failure hypotheses and kill criteria.</w:t>
            </w:r>
          </w:p>
        </w:tc>
      </w:tr>
      <w:tr>
        <w:trPr>
          <w:cantSplit/>
        </w:trPr>
        <w:tc>
          <w:tcPr>
            <w:tcW w:type="dxa" w:w="3005"/>
            <w:vAlign w:val="top"/>
            <w:tcMar>
              <w:top w:w="70" w:type="dxa"/>
              <w:start w:w="90" w:type="dxa"/>
              <w:bottom w:w="70" w:type="dxa"/>
              <w:end w:w="90" w:type="dxa"/>
            </w:tcMar>
          </w:tcPr>
          <w:p>
            <w:pPr>
              <w:spacing w:after="20"/>
            </w:pPr>
            <w:r>
              <w:rPr>
                <w:sz w:val="17"/>
              </w:rPr>
              <w:t>EVIDENCE/</w:t>
            </w:r>
          </w:p>
        </w:tc>
        <w:tc>
          <w:tcPr>
            <w:tcW w:type="dxa" w:w="6066"/>
            <w:vAlign w:val="top"/>
            <w:tcMar>
              <w:top w:w="70" w:type="dxa"/>
              <w:start w:w="90" w:type="dxa"/>
              <w:bottom w:w="70" w:type="dxa"/>
              <w:end w:w="90" w:type="dxa"/>
            </w:tcMar>
          </w:tcPr>
          <w:p>
            <w:pPr>
              <w:spacing w:after="20"/>
            </w:pPr>
            <w:r>
              <w:rPr>
                <w:sz w:val="17"/>
              </w:rPr>
              <w:t>Frozen logs, pcaps, vectors, manifests, hashes and environment metadata.</w:t>
            </w:r>
          </w:p>
        </w:tc>
      </w:tr>
    </w:tbl>
    <w:p>
      <w:pPr>
        <w:spacing w:after="0"/>
      </w:pPr>
    </w:p>
    <w:p>
      <w:pPr>
        <w:pStyle w:val="Heading1"/>
      </w:pPr>
      <w:r>
        <w:t>14. Conclusion</w:t>
      </w:r>
    </w:p>
    <w:p>
      <w:r>
        <w:t>The contribution supported by this report is not the generic idea of advertising a future endpoint over an existing connection, nor the generic idea of transporting DNSSEC-validatable material in-band; RFC 7838 Alt-Svc and RFC 9102 TLS DNSSEC Chain establish those adjacent design spaces. The PoC instead exercised a DNSSEC-rooted, independently verifiable DNS-state reconciliation model: bounded scope state, generation plus digest identity, exact signed transitions, fork/gap recovery, key rotation and emergency root reset, negative DNS state, resource limits, H2/H3 carriage, and a patched Chromium path that committed a signed endpoint transition into resolver state. Its strongest demonstrated property is pre-failure convergence: Gen101 / 172.18.0.12 was verified and committed before 172.18.0.61 was physically removed; the next request then reached the replacement with zero target-name DNS queries during the cutover.</w:t>
      </w:r>
    </w:p>
    <w:p>
      <w:r>
        <w:t>Gate 3B demonstrated the mechanism-level opportunity: reconciliation can be folded into an application exchange that is already paying the path RTT, while a conventional refresh or separate push transaction is another RTT-bearing network transaction. The 100-pair Chromium result detected no material browser-visible penalty at the resolution of that harness; its +0.123 ms paired mean is descriptive only, not a statistically resolved effect. The decisive external questions are now operational: how often a usable overlap path exists before hard discontinuity, how much population-wide DNS work short-TTL/prefetch alternatives require for comparable convergence, and whether the richer state/trust model survives real CDN, browser, resolver, proxy, mobile, and anycast complexity.</w:t>
      </w:r>
    </w:p>
    <w:p>
      <w:pPr>
        <w:pStyle w:val="Heading1"/>
      </w:pPr>
      <w:r>
        <w:t>Appendix A. Frozen Evidence and Artifact Index</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402"/>
            <w:shd w:fill="D9E2F3"/>
            <w:vAlign w:val="center"/>
            <w:tcMar>
              <w:top w:w="70" w:type="dxa"/>
              <w:start w:w="90" w:type="dxa"/>
              <w:bottom w:w="70" w:type="dxa"/>
              <w:end w:w="90" w:type="dxa"/>
            </w:tcMar>
          </w:tcPr>
          <w:p>
            <w:r>
              <w:rPr>
                <w:b/>
                <w:sz w:val="16"/>
              </w:rPr>
              <w:t>Evidence</w:t>
            </w:r>
          </w:p>
        </w:tc>
        <w:tc>
          <w:tcPr>
            <w:tcW w:type="dxa" w:w="5669"/>
            <w:shd w:fill="D9E2F3"/>
            <w:vAlign w:val="center"/>
            <w:tcMar>
              <w:top w:w="70" w:type="dxa"/>
              <w:start w:w="90" w:type="dxa"/>
              <w:bottom w:w="70" w:type="dxa"/>
              <w:end w:w="90" w:type="dxa"/>
            </w:tcMar>
          </w:tcPr>
          <w:p>
            <w:r>
              <w:rPr>
                <w:b/>
                <w:sz w:val="16"/>
              </w:rPr>
              <w:t>Reported path / identifier</w:t>
            </w:r>
          </w:p>
        </w:tc>
      </w:tr>
      <w:tr>
        <w:trPr>
          <w:cantSplit/>
        </w:trPr>
        <w:tc>
          <w:tcPr>
            <w:tcW w:type="dxa" w:w="3402"/>
            <w:vAlign w:val="top"/>
            <w:tcMar>
              <w:top w:w="70" w:type="dxa"/>
              <w:start w:w="90" w:type="dxa"/>
              <w:bottom w:w="70" w:type="dxa"/>
              <w:end w:w="90" w:type="dxa"/>
            </w:tcMar>
          </w:tcPr>
          <w:p>
            <w:pPr>
              <w:spacing w:after="20"/>
            </w:pPr>
            <w:r>
              <w:rPr>
                <w:sz w:val="16"/>
              </w:rPr>
              <w:t>Evidence Freeze v0.1</w:t>
            </w:r>
          </w:p>
        </w:tc>
        <w:tc>
          <w:tcPr>
            <w:tcW w:type="dxa" w:w="5669"/>
            <w:vAlign w:val="top"/>
            <w:tcMar>
              <w:top w:w="70" w:type="dxa"/>
              <w:start w:w="90" w:type="dxa"/>
              <w:bottom w:w="70" w:type="dxa"/>
              <w:end w:w="90" w:type="dxa"/>
            </w:tcMar>
          </w:tcPr>
          <w:p>
            <w:pPr>
              <w:spacing w:after="20"/>
            </w:pPr>
            <w:r>
              <w:rPr>
                <w:sz w:val="16"/>
              </w:rPr>
              <w:t>opportunistic_dns_freshness_evidence_freeze_v0.1_de</w:t>
            </w:r>
          </w:p>
        </w:tc>
      </w:tr>
      <w:tr>
        <w:trPr>
          <w:cantSplit/>
        </w:trPr>
        <w:tc>
          <w:tcPr>
            <w:tcW w:type="dxa" w:w="3402"/>
            <w:vAlign w:val="top"/>
            <w:tcMar>
              <w:top w:w="70" w:type="dxa"/>
              <w:start w:w="90" w:type="dxa"/>
              <w:bottom w:w="70" w:type="dxa"/>
              <w:end w:w="90" w:type="dxa"/>
            </w:tcMar>
          </w:tcPr>
          <w:p>
            <w:pPr>
              <w:spacing w:after="20"/>
            </w:pPr>
            <w:r>
              <w:rPr>
                <w:sz w:val="16"/>
              </w:rPr>
              <w:t>Protocol Spec v0.1</w:t>
            </w:r>
          </w:p>
        </w:tc>
        <w:tc>
          <w:tcPr>
            <w:tcW w:type="dxa" w:w="5669"/>
            <w:vAlign w:val="top"/>
            <w:tcMar>
              <w:top w:w="70" w:type="dxa"/>
              <w:start w:w="90" w:type="dxa"/>
              <w:bottom w:w="70" w:type="dxa"/>
              <w:end w:w="90" w:type="dxa"/>
            </w:tcMar>
          </w:tcPr>
          <w:p>
            <w:pPr>
              <w:spacing w:after="20"/>
            </w:pPr>
            <w:r>
              <w:rPr>
                <w:sz w:val="16"/>
              </w:rPr>
              <w:t>opportunistic_dns_freshness_protocol_spec_v0.1_frozen_de</w:t>
            </w:r>
          </w:p>
        </w:tc>
      </w:tr>
      <w:tr>
        <w:trPr>
          <w:cantSplit/>
        </w:trPr>
        <w:tc>
          <w:tcPr>
            <w:tcW w:type="dxa" w:w="3402"/>
            <w:vAlign w:val="top"/>
            <w:tcMar>
              <w:top w:w="70" w:type="dxa"/>
              <w:start w:w="90" w:type="dxa"/>
              <w:bottom w:w="70" w:type="dxa"/>
              <w:end w:w="90" w:type="dxa"/>
            </w:tcMar>
          </w:tcPr>
          <w:p>
            <w:pPr>
              <w:spacing w:after="20"/>
            </w:pPr>
            <w:r>
              <w:rPr>
                <w:sz w:val="16"/>
              </w:rPr>
              <w:t>Chromium fullstack state machine</w:t>
            </w:r>
          </w:p>
        </w:tc>
        <w:tc>
          <w:tcPr>
            <w:tcW w:type="dxa" w:w="5669"/>
            <w:vAlign w:val="top"/>
            <w:tcMar>
              <w:top w:w="70" w:type="dxa"/>
              <w:start w:w="90" w:type="dxa"/>
              <w:bottom w:w="70" w:type="dxa"/>
              <w:end w:w="90" w:type="dxa"/>
            </w:tcMar>
          </w:tcPr>
          <w:p>
            <w:pPr>
              <w:spacing w:after="20"/>
            </w:pPr>
            <w:r>
              <w:rPr>
                <w:sz w:val="16"/>
              </w:rPr>
              <w:t>/mnt/user/appdata/dns-service-sync-lab/benchmark/results/browser-fullstack-state-machine/20260824T193702Z</w:t>
            </w:r>
          </w:p>
        </w:tc>
      </w:tr>
      <w:tr>
        <w:trPr>
          <w:cantSplit/>
        </w:trPr>
        <w:tc>
          <w:tcPr>
            <w:tcW w:type="dxa" w:w="3402"/>
            <w:vAlign w:val="top"/>
            <w:tcMar>
              <w:top w:w="70" w:type="dxa"/>
              <w:start w:w="90" w:type="dxa"/>
              <w:bottom w:w="70" w:type="dxa"/>
              <w:end w:w="90" w:type="dxa"/>
            </w:tcMar>
          </w:tcPr>
          <w:p>
            <w:pPr>
              <w:spacing w:after="20"/>
            </w:pPr>
            <w:r>
              <w:rPr>
                <w:sz w:val="16"/>
              </w:rPr>
              <w:t>Hard zero-DNS cutover</w:t>
            </w:r>
          </w:p>
        </w:tc>
        <w:tc>
          <w:tcPr>
            <w:tcW w:type="dxa" w:w="5669"/>
            <w:vAlign w:val="top"/>
            <w:tcMar>
              <w:top w:w="70" w:type="dxa"/>
              <w:start w:w="90" w:type="dxa"/>
              <w:bottom w:w="70" w:type="dxa"/>
              <w:end w:w="90" w:type="dxa"/>
            </w:tcMar>
          </w:tcPr>
          <w:p>
            <w:pPr>
              <w:spacing w:after="20"/>
            </w:pPr>
            <w:r>
              <w:rPr>
                <w:sz w:val="16"/>
              </w:rPr>
              <w:t>/mnt/user/appdata/dns-service-sync-lab/benchmark/results/browser-zero-dns-cutover/20260825T052433Z</w:t>
            </w:r>
          </w:p>
        </w:tc>
      </w:tr>
      <w:tr>
        <w:trPr>
          <w:cantSplit/>
        </w:trPr>
        <w:tc>
          <w:tcPr>
            <w:tcW w:type="dxa" w:w="3402"/>
            <w:vAlign w:val="top"/>
            <w:tcMar>
              <w:top w:w="70" w:type="dxa"/>
              <w:start w:w="90" w:type="dxa"/>
              <w:bottom w:w="70" w:type="dxa"/>
              <w:end w:w="90" w:type="dxa"/>
            </w:tcMar>
          </w:tcPr>
          <w:p>
            <w:pPr>
              <w:spacing w:after="20"/>
            </w:pPr>
            <w:r>
              <w:rPr>
                <w:sz w:val="16"/>
              </w:rPr>
              <w:t>Canonical hard-cutover snapshot</w:t>
            </w:r>
          </w:p>
        </w:tc>
        <w:tc>
          <w:tcPr>
            <w:tcW w:type="dxa" w:w="5669"/>
            <w:vAlign w:val="top"/>
            <w:tcMar>
              <w:top w:w="70" w:type="dxa"/>
              <w:start w:w="90" w:type="dxa"/>
              <w:bottom w:w="70" w:type="dxa"/>
              <w:end w:w="90" w:type="dxa"/>
            </w:tcMar>
          </w:tcPr>
          <w:p>
            <w:pPr>
              <w:spacing w:after="20"/>
            </w:pPr>
            <w:r>
              <w:rPr>
                <w:sz w:val="16"/>
              </w:rPr>
              <w:t>/mnt/user/appdata/dns-service-sync-lab/snapshots/hard-zero-dns-cutover-pass-20260825T052433Z</w:t>
            </w:r>
          </w:p>
        </w:tc>
      </w:tr>
      <w:tr>
        <w:trPr>
          <w:cantSplit/>
        </w:trPr>
        <w:tc>
          <w:tcPr>
            <w:tcW w:type="dxa" w:w="3402"/>
            <w:vAlign w:val="top"/>
            <w:tcMar>
              <w:top w:w="70" w:type="dxa"/>
              <w:start w:w="90" w:type="dxa"/>
              <w:bottom w:w="70" w:type="dxa"/>
              <w:end w:w="90" w:type="dxa"/>
            </w:tcMar>
          </w:tcPr>
          <w:p>
            <w:pPr>
              <w:spacing w:after="20"/>
            </w:pPr>
            <w:r>
              <w:rPr>
                <w:sz w:val="16"/>
              </w:rPr>
              <w:t>Hard-cutover freeze content SHA-256</w:t>
            </w:r>
          </w:p>
        </w:tc>
        <w:tc>
          <w:tcPr>
            <w:tcW w:type="dxa" w:w="5669"/>
            <w:vAlign w:val="top"/>
            <w:tcMar>
              <w:top w:w="70" w:type="dxa"/>
              <w:start w:w="90" w:type="dxa"/>
              <w:bottom w:w="70" w:type="dxa"/>
              <w:end w:w="90" w:type="dxa"/>
            </w:tcMar>
          </w:tcPr>
          <w:p>
            <w:pPr>
              <w:spacing w:after="20"/>
            </w:pPr>
            <w:r>
              <w:rPr>
                <w:sz w:val="16"/>
              </w:rPr>
              <w:t>1950d5b91dda3aa13d6f93c128c70c70aecc3a041b851c2a3e8edc1980bc54c1</w:t>
            </w:r>
          </w:p>
        </w:tc>
      </w:tr>
      <w:tr>
        <w:trPr>
          <w:cantSplit/>
        </w:trPr>
        <w:tc>
          <w:tcPr>
            <w:tcW w:type="dxa" w:w="3402"/>
            <w:vAlign w:val="top"/>
            <w:tcMar>
              <w:top w:w="70" w:type="dxa"/>
              <w:start w:w="90" w:type="dxa"/>
              <w:bottom w:w="70" w:type="dxa"/>
              <w:end w:w="90" w:type="dxa"/>
            </w:tcMar>
          </w:tcPr>
          <w:p>
            <w:pPr>
              <w:spacing w:after="20"/>
            </w:pPr>
            <w:r>
              <w:rPr>
                <w:sz w:val="16"/>
              </w:rPr>
              <w:t>Hard-cutover archive SHA-256</w:t>
            </w:r>
          </w:p>
        </w:tc>
        <w:tc>
          <w:tcPr>
            <w:tcW w:type="dxa" w:w="5669"/>
            <w:vAlign w:val="top"/>
            <w:tcMar>
              <w:top w:w="70" w:type="dxa"/>
              <w:start w:w="90" w:type="dxa"/>
              <w:bottom w:w="70" w:type="dxa"/>
              <w:end w:w="90" w:type="dxa"/>
            </w:tcMar>
          </w:tcPr>
          <w:p>
            <w:pPr>
              <w:spacing w:after="20"/>
            </w:pPr>
            <w:r>
              <w:rPr>
                <w:sz w:val="16"/>
              </w:rPr>
              <w:t>1da526d51aacc145f63736a5f45be54705dadfa26c05030c06de2165887bc506</w:t>
            </w:r>
          </w:p>
        </w:tc>
      </w:tr>
      <w:tr>
        <w:trPr>
          <w:cantSplit/>
        </w:trPr>
        <w:tc>
          <w:tcPr>
            <w:tcW w:type="dxa" w:w="3402"/>
            <w:vAlign w:val="top"/>
            <w:tcMar>
              <w:top w:w="70" w:type="dxa"/>
              <w:start w:w="90" w:type="dxa"/>
              <w:bottom w:w="70" w:type="dxa"/>
              <w:end w:w="90" w:type="dxa"/>
            </w:tcMar>
          </w:tcPr>
          <w:p>
            <w:pPr>
              <w:spacing w:after="20"/>
            </w:pPr>
            <w:r>
              <w:rPr>
                <w:sz w:val="16"/>
              </w:rPr>
              <w:t>Wire Delta/NoChange</w:t>
            </w:r>
          </w:p>
        </w:tc>
        <w:tc>
          <w:tcPr>
            <w:tcW w:type="dxa" w:w="5669"/>
            <w:vAlign w:val="top"/>
            <w:tcMar>
              <w:top w:w="70" w:type="dxa"/>
              <w:start w:w="90" w:type="dxa"/>
              <w:bottom w:w="70" w:type="dxa"/>
              <w:end w:w="90" w:type="dxa"/>
            </w:tcMar>
          </w:tcPr>
          <w:p>
            <w:pPr>
              <w:spacing w:after="20"/>
            </w:pPr>
            <w:r>
              <w:rPr>
                <w:sz w:val="16"/>
              </w:rPr>
              <w:t>/mnt/user/appdata/dns-service-sync-lab/benchmark/results/browser-wire-delta-nochange/20260825T054759Z</w:t>
            </w:r>
          </w:p>
        </w:tc>
      </w:tr>
      <w:tr>
        <w:trPr>
          <w:cantSplit/>
        </w:trPr>
        <w:tc>
          <w:tcPr>
            <w:tcW w:type="dxa" w:w="3402"/>
            <w:vAlign w:val="top"/>
            <w:tcMar>
              <w:top w:w="70" w:type="dxa"/>
              <w:start w:w="90" w:type="dxa"/>
              <w:bottom w:w="70" w:type="dxa"/>
              <w:end w:w="90" w:type="dxa"/>
            </w:tcMar>
          </w:tcPr>
          <w:p>
            <w:pPr>
              <w:spacing w:after="20"/>
            </w:pPr>
            <w:r>
              <w:rPr>
                <w:sz w:val="16"/>
              </w:rPr>
              <w:t>Chromium 100-rep benchmark</w:t>
            </w:r>
          </w:p>
        </w:tc>
        <w:tc>
          <w:tcPr>
            <w:tcW w:type="dxa" w:w="5669"/>
            <w:vAlign w:val="top"/>
            <w:tcMar>
              <w:top w:w="70" w:type="dxa"/>
              <w:start w:w="90" w:type="dxa"/>
              <w:bottom w:w="70" w:type="dxa"/>
              <w:end w:w="90" w:type="dxa"/>
            </w:tcMar>
          </w:tcPr>
          <w:p>
            <w:pPr>
              <w:spacing w:after="20"/>
            </w:pPr>
            <w:r>
              <w:rPr>
                <w:sz w:val="16"/>
              </w:rPr>
              <w:t>/mnt/user/appdata/dns-service-sync-lab/benchmark/results/browser-freshness-100/20260825T055014Z</w:t>
            </w:r>
          </w:p>
        </w:tc>
      </w:tr>
      <w:tr>
        <w:trPr>
          <w:cantSplit/>
        </w:trPr>
        <w:tc>
          <w:tcPr>
            <w:tcW w:type="dxa" w:w="3402"/>
            <w:vAlign w:val="top"/>
            <w:tcMar>
              <w:top w:w="70" w:type="dxa"/>
              <w:start w:w="90" w:type="dxa"/>
              <w:bottom w:w="70" w:type="dxa"/>
              <w:end w:w="90" w:type="dxa"/>
            </w:tcMar>
          </w:tcPr>
          <w:p>
            <w:pPr>
              <w:spacing w:after="20"/>
            </w:pPr>
            <w:r>
              <w:rPr>
                <w:sz w:val="16"/>
              </w:rPr>
              <w:t>Gate 3B RTT runner</w:t>
            </w:r>
          </w:p>
        </w:tc>
        <w:tc>
          <w:tcPr>
            <w:tcW w:type="dxa" w:w="5669"/>
            <w:vAlign w:val="top"/>
            <w:tcMar>
              <w:top w:w="70" w:type="dxa"/>
              <w:start w:w="90" w:type="dxa"/>
              <w:bottom w:w="70" w:type="dxa"/>
              <w:end w:w="90" w:type="dxa"/>
            </w:tcMar>
          </w:tcPr>
          <w:p>
            <w:pPr>
              <w:spacing w:after="20"/>
            </w:pPr>
            <w:r>
              <w:rPr>
                <w:sz w:val="16"/>
              </w:rPr>
              <w:t>/mnt/user/appdata/dns-service-sync-lab/benchmark/run_gate3b_rtt.sh</w:t>
            </w:r>
          </w:p>
        </w:tc>
      </w:tr>
      <w:tr>
        <w:trPr>
          <w:cantSplit/>
        </w:trPr>
        <w:tc>
          <w:tcPr>
            <w:tcW w:type="dxa" w:w="3402"/>
            <w:vAlign w:val="top"/>
            <w:tcMar>
              <w:top w:w="70" w:type="dxa"/>
              <w:start w:w="90" w:type="dxa"/>
              <w:bottom w:w="70" w:type="dxa"/>
              <w:end w:w="90" w:type="dxa"/>
            </w:tcMar>
          </w:tcPr>
          <w:p>
            <w:pPr>
              <w:spacing w:after="20"/>
            </w:pPr>
            <w:r>
              <w:rPr>
                <w:sz w:val="16"/>
              </w:rPr>
              <w:t>Gates 4–18</w:t>
            </w:r>
          </w:p>
        </w:tc>
        <w:tc>
          <w:tcPr>
            <w:tcW w:type="dxa" w:w="5669"/>
            <w:vAlign w:val="top"/>
            <w:tcMar>
              <w:top w:w="70" w:type="dxa"/>
              <w:start w:w="90" w:type="dxa"/>
              <w:bottom w:w="70" w:type="dxa"/>
              <w:end w:w="90" w:type="dxa"/>
            </w:tcMar>
          </w:tcPr>
          <w:p>
            <w:pPr>
              <w:spacing w:after="20"/>
            </w:pPr>
            <w:r>
              <w:rPr>
                <w:sz w:val="16"/>
              </w:rPr>
              <w:t>/mnt/user/appdata/dns-service-sync-lab/benchmark/gate4-bounded/ through gate18-http3/</w:t>
            </w:r>
          </w:p>
        </w:tc>
      </w:tr>
    </w:tbl>
    <w:p>
      <w:pPr>
        <w:spacing w:after="0"/>
      </w:pPr>
    </w:p>
    <w:p>
      <w:pPr>
        <w:pStyle w:val="Heading1"/>
      </w:pPr>
      <w:r>
        <w:t>Appendix B. Selected Frozen Vector Hashes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402"/>
            <w:shd w:fill="D9E2F3"/>
            <w:vAlign w:val="center"/>
            <w:tcMar>
              <w:top w:w="70" w:type="dxa"/>
              <w:start w:w="90" w:type="dxa"/>
              <w:bottom w:w="70" w:type="dxa"/>
              <w:end w:w="90" w:type="dxa"/>
            </w:tcMar>
          </w:tcPr>
          <w:p>
            <w:r>
              <w:rPr>
                <w:b/>
                <w:sz w:val="16"/>
              </w:rPr>
              <w:t>Vector</w:t>
            </w:r>
          </w:p>
        </w:tc>
        <w:tc>
          <w:tcPr>
            <w:tcW w:type="dxa" w:w="5669"/>
            <w:shd w:fill="D9E2F3"/>
            <w:vAlign w:val="center"/>
            <w:tcMar>
              <w:top w:w="70" w:type="dxa"/>
              <w:start w:w="90" w:type="dxa"/>
              <w:bottom w:w="70" w:type="dxa"/>
              <w:end w:w="90" w:type="dxa"/>
            </w:tcMar>
          </w:tcPr>
          <w:p>
            <w:r>
              <w:rPr>
                <w:b/>
                <w:sz w:val="16"/>
              </w:rPr>
              <w:t>SHA-256</w:t>
            </w:r>
          </w:p>
        </w:tc>
      </w:tr>
      <w:tr>
        <w:trPr>
          <w:cantSplit/>
        </w:trPr>
        <w:tc>
          <w:tcPr>
            <w:tcW w:type="dxa" w:w="3402"/>
            <w:vAlign w:val="top"/>
            <w:tcMar>
              <w:top w:w="70" w:type="dxa"/>
              <w:start w:w="90" w:type="dxa"/>
              <w:bottom w:w="70" w:type="dxa"/>
              <w:end w:w="90" w:type="dxa"/>
            </w:tcMar>
          </w:tcPr>
          <w:p>
            <w:pPr>
              <w:spacing w:after="20"/>
            </w:pPr>
            <w:r>
              <w:rPr>
                <w:sz w:val="16"/>
              </w:rPr>
              <w:t>Gate-13 checkpoint.cose</w:t>
            </w:r>
          </w:p>
        </w:tc>
        <w:tc>
          <w:tcPr>
            <w:tcW w:type="dxa" w:w="5669"/>
            <w:vAlign w:val="top"/>
            <w:tcMar>
              <w:top w:w="70" w:type="dxa"/>
              <w:start w:w="90" w:type="dxa"/>
              <w:bottom w:w="70" w:type="dxa"/>
              <w:end w:w="90" w:type="dxa"/>
            </w:tcMar>
          </w:tcPr>
          <w:p>
            <w:pPr>
              <w:spacing w:after="20"/>
            </w:pPr>
            <w:r>
              <w:rPr>
                <w:sz w:val="16"/>
              </w:rPr>
              <w:t>6d7fd17b85c798242044cce0aa0938163954adbd7a0ff396dd7905f7003ef45d</w:t>
            </w:r>
          </w:p>
        </w:tc>
      </w:tr>
      <w:tr>
        <w:trPr>
          <w:cantSplit/>
        </w:trPr>
        <w:tc>
          <w:tcPr>
            <w:tcW w:type="dxa" w:w="3402"/>
            <w:vAlign w:val="top"/>
            <w:tcMar>
              <w:top w:w="70" w:type="dxa"/>
              <w:start w:w="90" w:type="dxa"/>
              <w:bottom w:w="70" w:type="dxa"/>
              <w:end w:w="90" w:type="dxa"/>
            </w:tcMar>
          </w:tcPr>
          <w:p>
            <w:pPr>
              <w:spacing w:after="20"/>
            </w:pPr>
            <w:r>
              <w:rPr>
                <w:sz w:val="16"/>
              </w:rPr>
              <w:t>Gate-13 delta.cose</w:t>
            </w:r>
          </w:p>
        </w:tc>
        <w:tc>
          <w:tcPr>
            <w:tcW w:type="dxa" w:w="5669"/>
            <w:vAlign w:val="top"/>
            <w:tcMar>
              <w:top w:w="70" w:type="dxa"/>
              <w:start w:w="90" w:type="dxa"/>
              <w:bottom w:w="70" w:type="dxa"/>
              <w:end w:w="90" w:type="dxa"/>
            </w:tcMar>
          </w:tcPr>
          <w:p>
            <w:pPr>
              <w:spacing w:after="20"/>
            </w:pPr>
            <w:r>
              <w:rPr>
                <w:sz w:val="16"/>
              </w:rPr>
              <w:t>94f0882665abfa18913323a6776629f5087fee73710846273cee72e50b1cb92c</w:t>
            </w:r>
          </w:p>
        </w:tc>
      </w:tr>
    </w:tbl>
    <w:p>
      <w:pPr>
        <w:spacing w:after="0"/>
      </w:pPr>
    </w:p>
    <w:p>
      <w:pPr>
        <w:pStyle w:val="Heading1"/>
      </w:pPr>
      <w:r>
        <w:t>Appendix C. Standards Alignment and Related Work Used by v0.1</w:t>
      </w:r>
    </w:p>
    <w:p>
      <w:pPr>
        <w:pStyle w:val="ListBullet"/>
        <w:spacing w:after="40"/>
      </w:pPr>
      <w:r>
        <w:t>RFC 4034 - canonical DNS name/RR forms and RRset ordering basis for deterministic state identity.</w:t>
      </w:r>
    </w:p>
    <w:p>
      <w:pPr>
        <w:pStyle w:val="ListBullet"/>
        <w:spacing w:after="40"/>
      </w:pPr>
      <w:r>
        <w:t>RFC 8949 - deterministic CBOR profiles may be required and validated by a protocol.</w:t>
      </w:r>
    </w:p>
    <w:p>
      <w:pPr>
        <w:pStyle w:val="ListBullet"/>
        <w:spacing w:after="40"/>
      </w:pPr>
      <w:r>
        <w:t>RFC 9052 - COSE_Sign1 as CBOR Tag 18 / four-element structure.</w:t>
      </w:r>
    </w:p>
    <w:p>
      <w:pPr>
        <w:pStyle w:val="ListBullet"/>
        <w:spacing w:after="40"/>
      </w:pPr>
      <w:r>
        <w:t>RFC 9864 - fully specified COSE Ed25519 algorithm -19.</w:t>
      </w:r>
    </w:p>
    <w:p>
      <w:pPr>
        <w:pStyle w:val="ListBullet"/>
        <w:spacing w:after="40"/>
      </w:pPr>
      <w:r>
        <w:t>RFC 9651 - Structured Field Byte Sequence representation.</w:t>
      </w:r>
    </w:p>
    <w:p>
      <w:pPr>
        <w:pStyle w:val="ListBullet"/>
        <w:spacing w:after="40"/>
      </w:pPr>
      <w:r>
        <w:t>RFC 9113 - HTTP/2 multiplexed streams on one connection.</w:t>
      </w:r>
    </w:p>
    <w:p>
      <w:pPr>
        <w:pStyle w:val="ListBullet"/>
        <w:spacing w:after="40"/>
      </w:pPr>
      <w:r>
        <w:t>RFC 9114 - HTTP semantics over QUIC; request stream numbering used in H3 evidence.</w:t>
      </w:r>
    </w:p>
    <w:p>
      <w:pPr>
        <w:pStyle w:val="ListBullet"/>
        <w:spacing w:after="40"/>
      </w:pPr>
      <w:r>
        <w:t>RFC 9460 - SVCB/HTTPS; private-use SvcParamKey range used only for the lab experiment.</w:t>
      </w:r>
    </w:p>
    <w:p>
      <w:pPr>
        <w:pStyle w:val="ListBullet"/>
        <w:spacing w:after="40"/>
      </w:pPr>
      <w:r>
        <w:t>RFC 8765 - DNS Push / DSO subscription precedent and complementary idle-delivery capability.</w:t>
      </w:r>
    </w:p>
    <w:p>
      <w:pPr>
        <w:pStyle w:val="ListBullet"/>
      </w:pPr>
      <w:r>
        <w:t>RFC 7838 - HTTP Alternative Services; direct prior art for authoritative in-band alternative service advertisement with an ma freshness lifetime.</w:t>
      </w:r>
    </w:p>
    <w:p>
      <w:pPr>
        <w:pStyle w:val="ListBullet"/>
      </w:pPr>
      <w:r>
        <w:t>RFC 9000 - QUIC preferred_address; server-supplied migration address scoped only to the connection in which it is provided.</w:t>
      </w:r>
    </w:p>
    <w:p>
      <w:pPr>
        <w:pStyle w:val="ListBullet"/>
      </w:pPr>
      <w:r>
        <w:t>RFC 9102 - TLS DNSSEC Chain Extension; Experimental Independent Submission for in-band carriage of the DNSSEC authentication chain needed for DANE/TLSA, including authenticated denial of existence and avoidance of separate out-of-band DNS lookups for that authentication data. Close precedent for in-band self-validating DNSSEC material, but not a post-admission incremental DNS-derived connectivity-state reconciliation protocol.</w:t>
      </w:r>
    </w:p>
    <w:p>
      <w:pPr>
        <w:pStyle w:val="ListBullet"/>
      </w:pPr>
      <w:r>
        <w:t>draft-thomson-httpbis-alt-svcb-01 (2023) - expired individual Internet-Draft; proposed DNS as the singular source of service reachability and in-band alternative names as a prompt to query DNS. Not IETF-endorsed; retained here as a design counterargument, not a standard.</w:t>
      </w:r>
    </w:p>
    <w:p>
      <w:pPr>
        <w:spacing w:before="240"/>
      </w:pPr>
      <w:r>
        <w:rPr>
          <w:b/>
        </w:rPr>
        <w:t xml:space="preserve">Evidence policy note: </w:t>
      </w:r>
      <w:r>
        <w:t>If a broader narrative conflicts with the frozen evidence ledger, the frozen ledger should prevail until new evidence exists.</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Opportunistic In-Band DNS Freshness | Technical Evidence Report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Liberation Sans" w:hAnsi="Liberation Sans"/>
      <w:b/>
      <w:bCs/>
      <w:color w:val="20375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F48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Opportunistic In-Band DNS Freshness - Technical Evidence Report v0.3</dc:title>
  <dc:subject>Chromium PoC and experimental evidence for DNSSEC-rooted in-band DNS state reconciliation</dc:subject>
  <dc:creator>Marc Nicolai Fronemann</dc:creator>
  <cp:keywords>DNS, DNSSEC, Chromium, HTTP/3, QUIC, cache freshness, state reconciliation</cp:keywords>
  <dc:description>Prepared for external technical review; local PoC evidence only.</dc:description>
  <cp:lastModifiedBy>Marc Nicolai Fronemann</cp:lastModifiedBy>
  <cp:revision>1</cp:revision>
  <dcterms:created xsi:type="dcterms:W3CDTF">2013-12-23T23:15:00Z</dcterms:created>
  <dcterms:modified xsi:type="dcterms:W3CDTF">2013-12-23T23:15:00Z</dcterms:modified>
  <cp:category/>
</cp:coreProperties>
</file>