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Isaac Soledad Martínez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Desarrollo de plataformas de datos financieros · Python, React, PostgreSQL · Economía financiera</w:t>
      </w:r>
    </w:p>
    <w:p>
      <w:pPr>
        <w:spacing w:after="20" w:before="0" w:line="264"/>
        <w:jc w:val="left"/>
      </w:pPr>
      <w:r>
        <w:rPr>
          <w:rFonts w:ascii="Calibri" w:cs="Calibri" w:eastAsia="Calibri" w:hAnsi="Calibri"/>
          <w:color w:val="595959"/>
          <w:sz w:val="18"/>
          <w:szCs w:val="18"/>
        </w:rPr>
        <w:t>Ciudad de México, México  ·  isoledadmz@gmail.com  ·  isoledadss.github.io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linkedin.com/in/isaacsoledad  ·  github.com/ISoledadSS  ·  Cédula profesional 15462554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PERFIL</w:t>
      </w:r>
    </w:p>
    <w:p>
      <w:pPr>
        <w:spacing w:after="0" w:before="0" w:line="264"/>
        <w:jc w:val="both"/>
      </w:pPr>
      <w:r>
        <w:rPr>
          <w:rFonts w:ascii="Calibri" w:cs="Calibri" w:eastAsia="Calibri" w:hAnsi="Calibri"/>
          <w:sz w:val="20"/>
          <w:szCs w:val="20"/>
        </w:rPr>
        <w:t>Economista financiero y desarrollador, con diez años en una firma de asesoría financiera y progresión interna de captura de datos a responsable de la información, responsable de la información de más de 1,800 contratos y cerca de 2,000 cuentas de inversión a través de 30 custodios nacionales e internacionales. Diseñó y construyó NSC Portal, la plataforma interna que hoy soporta la operación, la información y la analítica de la firma: 94,152 líneas entre backend Python/FastAPI y frontend React sobre PostgreSQL, 5 aplicaciones funcionales, 422 endpoints, 77 tablas, 47 permisos granulares y 203 pruebas automatizadas. La plataforma sustituyó tres aplicaciones de escritorio sin autenticación ni modelo de autorización, e internalizó capacidades que antes se compraban por licencia. Combina construcción de sistemas con dominio del contenido financiero —conciliación multicustodio, medición de desempeño, atribución patrimonial, analítica de cartera y renta fija—, respaldado por el Programa CFA, del que es candidato al Nivel I.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COMPETENCIAS TÉCNICAS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Python 3.11, FastAPI, uvicorn, Pydantic, psycopg2; SQL escrito a mano sin ORM; autenticación con bcrypt y JWT; autorización declarada por endpoint; manejo explícito de concurrencia entre event loop y threadpool; cola de trabajos persistida en base.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18, Vite, react-router, Tailwind; recharts, d3 y lightweight-charts para visualización; bpmn-js para modelado de procesos; File System Access API; hooks propios de sincronización y sondeo.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Datos: </w:t>
      </w:r>
      <w:r>
        <w:rPr>
          <w:rFonts w:ascii="Calibri" w:cs="Calibri" w:eastAsia="Calibri" w:hAnsi="Calibri"/>
          <w:sz w:val="20"/>
          <w:szCs w:val="20"/>
        </w:rPr>
        <w:t xml:space="preserve">PostgreSQL: diseño de esquema de 77 tablas con 71 índices, migraciones desde código, consultas de agregación mensual con ponderación y conversión de moneda, caché persistida en base. Pipelines de ingesta y conciliación multiorigen (correo, SFTP, portales de custodios).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Procesamiento documental: </w:t>
      </w:r>
      <w:r>
        <w:rPr>
          <w:rFonts w:ascii="Calibri" w:cs="Calibri" w:eastAsia="Calibri" w:hAnsi="Calibri"/>
          <w:sz w:val="20"/>
          <w:szCs w:val="20"/>
        </w:rPr>
        <w:t xml:space="preserve">pdfplumber, PyMuPDF, pikepdf, ocrmypdf, pytesseract, reportlab, python-docx, python-pptx, openpyxl, pyHanko; manipulación programática de OOXML.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Finanzas cuantitativas: </w:t>
      </w:r>
      <w:r>
        <w:rPr>
          <w:rFonts w:ascii="Calibri" w:cs="Calibri" w:eastAsia="Calibri" w:hAnsi="Calibri"/>
          <w:sz w:val="20"/>
          <w:szCs w:val="20"/>
        </w:rPr>
        <w:t xml:space="preserve">Medición de desempeño: rendimiento ponderado por dinero (Modified Dietz) frente a ponderado por tiempo, separación de flujos externos y efecto de mercado, atribución por asesor. Analítica de cartera: Sharpe, Sortino, máximo descenso, Calmar, beta y alfa contra referencia, VaR y CVaR, contribución al riesgo. Derivados: volatilidad implícita y griegas con Black-Scholes-Merton. Renta fija: curvas, sobretasas y plazo al vencimiento sobre el vector de precios de VALMER.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Ciencia de datos: </w:t>
      </w:r>
      <w:r>
        <w:rPr>
          <w:rFonts w:ascii="Calibri" w:cs="Calibri" w:eastAsia="Calibri" w:hAnsi="Calibri"/>
          <w:sz w:val="20"/>
          <w:szCs w:val="20"/>
        </w:rPr>
        <w:t xml:space="preserve">pandas, NumPy, scikit-learn, scipy, matplotlib; clasificación supervisada (QDA, LDA, Naive Bayes); clustering (KMeans, DBSCAN, HDBSCAN, aglomerativo); reducción de dimensionalidad (PCA, UMAP, t-SNE) y autoencoders; inferencia estadística implementada desde primeros principios y remuestreo por bootstrap.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Calidad e ingeniería: </w:t>
      </w:r>
      <w:r>
        <w:rPr>
          <w:rFonts w:ascii="Calibri" w:cs="Calibri" w:eastAsia="Calibri" w:hAnsi="Calibri"/>
          <w:sz w:val="20"/>
          <w:szCs w:val="20"/>
        </w:rPr>
        <w:t xml:space="preserve">diseño para testabilidad mediante funciones puras; pruebas de mutación para validar que las pruebas afirman lo que dicen; auditoría de código mediante análisis del árbol sintáctico (AST); catálogo de hallazgos clasificado por severidad y dimensión con plan de remediación por costo-riesgo.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Ofimática y bajo código: </w:t>
      </w:r>
      <w:r>
        <w:rPr>
          <w:rFonts w:ascii="Calibri" w:cs="Calibri" w:eastAsia="Calibri" w:hAnsi="Calibri"/>
          <w:sz w:val="20"/>
          <w:szCs w:val="20"/>
        </w:rPr>
        <w:t xml:space="preserve">Excel avanzado (Power Query, tablas dinámicas, VBA), Power Apps; automatización de flujos documentales sobre herramientas de Office.</w:t>
      </w:r>
    </w:p>
    <w:p>
      <w:pPr>
        <w:spacing w:after="70" w:before="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Gobierno de la información: </w:t>
      </w:r>
      <w:r>
        <w:rPr>
          <w:rFonts w:ascii="Calibri" w:cs="Calibri" w:eastAsia="Calibri" w:hAnsi="Calibri"/>
          <w:sz w:val="20"/>
          <w:szCs w:val="20"/>
        </w:rPr>
        <w:t xml:space="preserve">catálogo de políticas, marcos normativos, matrices RACI, análisis BIA, mapas de riesgo, control de versiones documentales; gestión de proyectos.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EXPERIENCIA PROFESIONAL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>Responsable de Información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NSC Asesores — Ciudad de México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julio 2019 – Actual</w:t>
      </w:r>
    </w:p>
    <w:p>
      <w:pPr>
        <w:keepNext/>
        <w:keepLines/>
        <w:spacing w:after="4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NSC Portal — plataforma interna de operación, información y analítica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Redujo hasta 60% los tiempos de los procesos operativos del área al sustituir revisión manual en Excel y captura repetitiva por flujos automatizados de extracción, validación y reporteo.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Diseñó y construyó la plataforma completa: backend Python/FastAPI (160 archivos de producción, 422 endpoints), frontend React/Vite (101 archivos, 74 rutas) y base PostgreSQL de 77 tablas, bajo una sola sesión y un catálogo de 47 permisos granulares por aplicación y sección.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Migró tres aplicaciones Streamlit de escritorio (41,507 líneas, tres procesos independientes, sin autenticación ni autorización) a un servicio HTTP único, incorporando sesión con JWT, bitácora de auditoría, cola de trabajos persistida en base que sobrevive al reinicio, y despliegue independiente de la máquina del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Construyó el pipeline de ingesta y conciliación de saldos y movimientos de 30 custodios nacionales e internacionales: 15 lectores de estados de cuenta en PDF tras una clase base común, más recolección diaria automatizada desde correo, SFTP y portales, con resolución del día hábil anterior por calendario de festivos de tres países y modo de simulación previo a mover archivos de producción.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Implementó el motor de inteligencia de negocio patrimonial: agregación mensual en SQL sobre saldos, posiciones y movimientos; atribución de patrimonio ponderada por porcentaje de asesor; y el cálculo de net new money separando flujo real de efecto de mercado, traspasos internos y depósitos iniciales, con excepciones, reclasificaciones y bitácora de correcciones.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Desarrolló la terminal de mercados interna: enrutador de proveedores con degradación ordenada y cortacircuitos, caché compartida en PostgreSQL, ingesta diaria del vector de precios de VALMER (alrededor de 35,000 instrumentos por 76 columnas) y analítica de cartera y derivados calculada localmente.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Sustituyó licencias y servicios de pago por cómputo propio: modelador BPMN con motor de ejecución en lugar de la herramienta comercial de modelado; suite completa de edición de PDF, OCR y firma digital en lugar de un editor de escritorio licenciado; y look-through de ETFs mediante reportes regulatorios N-PORT en lugar de un proveedor de datos de pago.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Implementó el cálculo de rendimiento por moneda separando posiciones y flujos en cubetas de pesos y dólares, con capital invertido ponderado por días de exposición de cada flujo —aproximación de Modified Dietz al rendimiento ponderado por dinero—, sustituyendo un cálculo que el asesor realizaba manualmente.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Automatizó la salida documental: informe patrimonial en PDF, presentación ejecutiva en PPTX sobre plantilla corporativa, cartas en DOCX generadas desde cero, y exportaciones a Excel y correo, incluida una traza de auditoría del cálculo.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Estableció la práctica de calidad: 203 pruebas automatizadas concentradas en la aritmética del dinero y en la sesión —el error silencioso, no el visible—, verificadas mediante pruebas de mutación; y una auditoría propia de 99 hallazgos con cita de archivo y línea, clasificados por severidad y dimensión, con plan de remediación ordenado por cociente riesgo-costo.</w:t>
      </w:r>
    </w:p>
    <w:p>
      <w:pPr>
        <w:keepNext/>
        <w:keepLines/>
        <w:spacing w:after="4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>Operación, control y gobierno de la información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Punto de concentración de la información de valores de la institución: movimientos, posiciones, precios, estados de cuenta y certificados de retención, y su entrega a contabilidad, control, promoción y la red de asesores.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Diseñó el marco de gobierno de la información del área: catálogo de 12 políticas, definición de roles, matriz RACI y delimitación entre lo que el área gobierna de forma directa y lo que exige concurrencia inter-áreas.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Condujo la actualización de la Política de Acceso y Uso de Portales (v5.1 → v6.0), resolviendo diez observaciones de revisión con decisiones sustantivas de alcance, definición de información confidencial, prohibiciones y reasignación de responsabilidad de monitoreo.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Auxiliar de TI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NSC Asesores — Ciudad de México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julio 2017 – mayo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>Soporte a usuarios y administración de equipos y sistemas internos; primeras automatizaciones sobre las bases operativas del área.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social — Prevención de Lavado de Dinero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Sociedad Hipotecaria Federal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Limpieza y consolidación de bases para análisis de riesgo de clientes, y actualización de las bases utilizadas en modelos de evaluación de riesgo financiero.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FORMACIÓN ACADÉMICA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Maestría en Ciencia de Datos e Información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INFOTEC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julio 2025 – julio 2027 (en curso)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Licenciatura en Economía y Finanzas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Universidad del Valle de México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2023 · Cédula profesional 15462554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Programa Especializado en Gestión de Proyectos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Tecnológico de Monterrey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agosto 2024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Programa Especializado en Ciencia de Datos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Universidad de los Andes, Colombia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noviembre 2023</w:t>
      </w:r>
    </w:p>
    <w:p>
      <w:pPr>
        <w:keepNext/>
        <w:keepLines/>
        <w:spacing w:after="0" w:before="110" w:line="264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Diplomado: Técnico en Sistemas Informáticos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Fundación Carlos Slim</w:t>
      </w:r>
    </w:p>
    <w:p>
      <w:pPr>
        <w:keepNext/>
        <w:keepLines/>
        <w:spacing w:after="60" w:before="0" w:line="264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marzo 2020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CERTIFICACIONES E IDIOMAS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Programa CFA — Candidato al Nivel I, examen programado para noviembre de 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Certificado Profesional de Análisis de Datos de Google — SQL, BigQuery, R y visualización.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Certificate in Alternative Investments — CAIA Association e iCapital (2026).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Python Data Associate (2026) · SQL Associate (2026) · Data Literacy Certificate.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Microeconomics Principles · Alts Edge, Alternative Investments · Innovación, Transformación y Liderazgo.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Inglés: TOEIC 920, nivel profesional de trabajo. Español nativo.</w:t>
      </w:r>
    </w:p>
    <w:p>
      <w:pPr>
        <w:keepNext/>
        <w:keepLines/>
        <w:pBdr>
          <w:bottom w:val="single" w:color="1F3864" w:sz="6" w:space="2"/>
        </w:pBdr>
        <w:spacing w:after="90" w:before="220" w:line="264"/>
        <w:jc w:val="left"/>
      </w:pPr>
      <w:r>
        <w:rPr>
          <w:rFonts w:ascii="Calibri" w:cs="Calibri" w:eastAsia="Calibri" w:hAnsi="Calibri"/>
          <w:b/>
          <w:bCs/>
          <w:color w:val="1F3864"/>
          <w:spacing w:val="20"/>
          <w:sz w:val="20"/>
          <w:szCs w:val="20"/>
        </w:rPr>
        <w:t xml:space="preserve">PROYECTOS ACADÉMICOS Y PERSONALES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Comparación de métodos de reducción de dimensionalidad sobre California Housing: PCA, UMAP, t-SNE y autoencoder, con análisis de la estructura recuperada por cada método.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Segmentación no supervisada evaluada con coeficiente de silueta y métrica intra/inter, comparando KMeans, DBSCAN, HDBSCAN y clustering aglomerativo.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Aplicación móvil de seguimiento de entrenamiento en Flutter sobre Firebase: arquitectura por capas, modelo de datos versionado, controles de privacidad a nivel de registro y reglas de progresión autorregulada.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2026-07-29T07:17:19.520Z</dcterms:created>
  <dcterms:modified xsi:type="dcterms:W3CDTF">2026-07-29T07:17:19.536Z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