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5BB3A8">
      <w:pPr>
        <w:jc w:val="center"/>
        <w:rPr>
          <w:rFonts w:hint="default" w:ascii="Times New Roman" w:hAnsi="Times New Roman" w:cs="Times New Roman"/>
          <w:sz w:val="80"/>
          <w:szCs w:val="80"/>
          <w:lang w:val="en-US"/>
        </w:rPr>
      </w:pPr>
      <w:r>
        <w:rPr>
          <w:rFonts w:hint="default" w:ascii="Times New Roman" w:hAnsi="Times New Roman" w:cs="Times New Roman"/>
          <w:sz w:val="80"/>
          <w:szCs w:val="80"/>
          <w:lang w:val="en-US"/>
        </w:rPr>
        <w:t>Bài Làm</w:t>
      </w:r>
    </w:p>
    <w:p w14:paraId="1F49A597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5F3CDF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Câu 1: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02E3A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EFFCE0C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Mục</w:t>
            </w:r>
          </w:p>
        </w:tc>
        <w:tc>
          <w:tcPr>
            <w:tcW w:w="4261" w:type="dxa"/>
          </w:tcPr>
          <w:p w14:paraId="3989E82E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Nội dung</w:t>
            </w:r>
          </w:p>
        </w:tc>
      </w:tr>
      <w:tr w14:paraId="3A004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2002D93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Actor chính - vai trò</w:t>
            </w:r>
          </w:p>
        </w:tc>
        <w:tc>
          <w:tcPr>
            <w:tcW w:w="4261" w:type="dxa"/>
          </w:tcPr>
          <w:p w14:paraId="0EA1ADD5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Bệnh nhân: Thực hiện chọn ngày khám, chọn khoa, chọn bác sĩ, chọn khung giờ, xem chi tiết chi phí và thông tin, xác nhận đặt lịch</w:t>
            </w:r>
          </w:p>
        </w:tc>
      </w:tr>
      <w:tr w14:paraId="12FB7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9964FD6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Yêu cầu chức năng (4)</w:t>
            </w:r>
          </w:p>
        </w:tc>
        <w:tc>
          <w:tcPr>
            <w:tcW w:w="4261" w:type="dxa"/>
          </w:tcPr>
          <w:p w14:paraId="67183711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- Chọn ngày khám, khoa khám</w:t>
            </w:r>
          </w:p>
          <w:p w14:paraId="486C69E8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- Chọn bác sĩ và khung giờ được hiển thị</w:t>
            </w:r>
          </w:p>
          <w:p w14:paraId="439B6F6D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- Chọn dịch vụ xét nghiệm và nhập triệu chứng</w:t>
            </w:r>
          </w:p>
          <w:p w14:paraId="57BC96F8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- Xác nhận đặt lịch khám</w:t>
            </w:r>
          </w:p>
        </w:tc>
      </w:tr>
      <w:tr w14:paraId="2DC53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90B3657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Yêu cầu phi chức năng (2)</w:t>
            </w:r>
          </w:p>
        </w:tc>
        <w:tc>
          <w:tcPr>
            <w:tcW w:w="4261" w:type="dxa"/>
          </w:tcPr>
          <w:p w14:paraId="3A226019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- Bảo mật: Mật khẩu và thông tin của bệnh nhân cần được che giấu và mã hóa. Chỉ có bệnh nhân mới xem được thông tin của mình</w:t>
            </w:r>
          </w:p>
          <w:p w14:paraId="34E3D252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- Hiệu năng: Hệ thống phải trả ra kết quả trong 2s kể cả khu lượng người truy cập lớn vào giờ cao điểm</w:t>
            </w:r>
          </w:p>
        </w:tc>
      </w:tr>
      <w:tr w14:paraId="35F25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AB64D75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BR 1 -&gt; Bước 1</w:t>
            </w:r>
          </w:p>
        </w:tc>
        <w:tc>
          <w:tcPr>
            <w:tcW w:w="4261" w:type="dxa"/>
          </w:tcPr>
          <w:p w14:paraId="6E81CD6B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BR1: Chỉ đặt lịch khám trong vòng 14 ngày -&gt; Bước 1: Chọn chuyên khoa và ngày khám -&gt; Nếu lịch khám được đặt vượt quá 14 ngày tới thì thông báo lỗi và yêu cầu nhập đúng</w:t>
            </w:r>
          </w:p>
        </w:tc>
      </w:tr>
      <w:tr w14:paraId="5D29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BD07EB0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BR 3 -&gt; Bước 6</w:t>
            </w:r>
          </w:p>
        </w:tc>
        <w:tc>
          <w:tcPr>
            <w:tcW w:w="4261" w:type="dxa"/>
          </w:tcPr>
          <w:p w14:paraId="3C098287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BR3: Một lịch hẹn thuộc về một bệnh nhân và một khung giờ -&gt; Bước 6: Hệ thống kiểm tra khung giờ còn chỗ -&gt; (A2) Nếu khung giờ được chọn hết chỗ thì hệ thống thông báo đã có bệnh nhân đặt lịch và quay lại bước 3</w:t>
            </w:r>
          </w:p>
        </w:tc>
      </w:tr>
      <w:tr w14:paraId="1DA39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F279D89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Điểm chưa rõ - Câu hỏi</w:t>
            </w:r>
          </w:p>
        </w:tc>
        <w:tc>
          <w:tcPr>
            <w:tcW w:w="4261" w:type="dxa"/>
          </w:tcPr>
          <w:p w14:paraId="5480F969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Chi phí khám theo giá hiện hành nhưng BR5 chưa thể hiện cách tính cụ thể và chưa có thông báo về phí dịch vụ. Câu hỏi: Nếu bệnh nhân khám khi có dịch vụ và không có dịch vụ sẽ tính như nào ?</w:t>
            </w:r>
          </w:p>
        </w:tc>
      </w:tr>
    </w:tbl>
    <w:p w14:paraId="6E2CDB19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Câu 2: </w:t>
      </w:r>
    </w:p>
    <w:p w14:paraId="6D2B13E7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 Viết lại bước 6 của main flow:</w:t>
      </w:r>
    </w:p>
    <w:p w14:paraId="5C08E6D1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6.1 Hệ thống kiểm tra khung giờ còn trống không</w:t>
      </w:r>
    </w:p>
    <w:p w14:paraId="37311082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6.2 Nếu còn thì tạo lịch hẹn</w:t>
      </w:r>
    </w:p>
    <w:p w14:paraId="4313AF01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6.3 Tạo cấp số thứ tự</w:t>
      </w:r>
    </w:p>
    <w:p w14:paraId="3F65A63A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6.4 Hiển thị thành công cho khách hàng</w:t>
      </w:r>
    </w:p>
    <w:p w14:paraId="00F02950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- Chèn ảnh:</w:t>
      </w:r>
    </w:p>
    <w:p w14:paraId="1BB22562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4591050" cy="5924550"/>
            <wp:effectExtent l="0" t="0" r="11430" b="3810"/>
            <wp:docPr id="1" name="Hình ảnh 1" descr="Untitled Diagra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 descr="Untitled Diagram.drawio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EC04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AE8BC41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Câu 3: Thiết kế ERD : Chèn ảnh và trả lời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526F7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3BA5299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Thuộc tính</w:t>
            </w:r>
          </w:p>
        </w:tc>
        <w:tc>
          <w:tcPr>
            <w:tcW w:w="4261" w:type="dxa"/>
          </w:tcPr>
          <w:p w14:paraId="560A5850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Đặt ở bảng</w:t>
            </w:r>
          </w:p>
        </w:tc>
      </w:tr>
      <w:tr w14:paraId="424BE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288CCD1B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max_patients</w:t>
            </w:r>
          </w:p>
        </w:tc>
        <w:tc>
          <w:tcPr>
            <w:tcW w:w="4261" w:type="dxa"/>
          </w:tcPr>
          <w:p w14:paraId="2CA66648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PatientAppointment</w:t>
            </w:r>
          </w:p>
        </w:tc>
      </w:tr>
      <w:tr w14:paraId="64EDA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7E5883C7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service_price</w:t>
            </w:r>
          </w:p>
        </w:tc>
        <w:tc>
          <w:tcPr>
            <w:tcW w:w="4261" w:type="dxa"/>
          </w:tcPr>
          <w:p w14:paraId="0BE7A173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ServiceAppointment</w:t>
            </w:r>
          </w:p>
        </w:tc>
      </w:tr>
      <w:tr w14:paraId="1F3BA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7EA1E531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queue_number</w:t>
            </w:r>
          </w:p>
        </w:tc>
        <w:tc>
          <w:tcPr>
            <w:tcW w:w="4261" w:type="dxa"/>
          </w:tcPr>
          <w:p w14:paraId="5CFF5BE1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PatientAppointment</w:t>
            </w:r>
          </w:p>
        </w:tc>
      </w:tr>
      <w:tr w14:paraId="48D62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4F8DEA4B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total_cost không nên lưu</w:t>
            </w:r>
          </w:p>
        </w:tc>
        <w:tc>
          <w:tcPr>
            <w:tcW w:w="4261" w:type="dxa"/>
          </w:tcPr>
          <w:p w14:paraId="23C9E760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Vì total_cost có thể tính được bằng cách cộng chi phí khám với tiền dịch vụ lại nên nếu đặt ở đây có thể nhập sai và gây thiếu nhất quán</w:t>
            </w:r>
          </w:p>
        </w:tc>
      </w:tr>
    </w:tbl>
    <w:p w14:paraId="51264DDE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D260D5C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Câu 4:</w:t>
      </w:r>
    </w:p>
    <w:p w14:paraId="04E3304C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683"/>
        <w:gridCol w:w="2571"/>
        <w:gridCol w:w="2623"/>
        <w:gridCol w:w="2645"/>
      </w:tblGrid>
      <w:tr w14:paraId="492F3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83" w:type="dxa"/>
          </w:tcPr>
          <w:p w14:paraId="78F1E28B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#</w:t>
            </w:r>
          </w:p>
        </w:tc>
        <w:tc>
          <w:tcPr>
            <w:tcW w:w="2571" w:type="dxa"/>
            <w:shd w:val="clear"/>
            <w:vAlign w:val="top"/>
          </w:tcPr>
          <w:p w14:paraId="2D005680">
            <w:pPr>
              <w:jc w:val="left"/>
              <w:rPr>
                <w:rFonts w:hint="default" w:ascii="Times New Roman" w:hAnsi="Times New Roman" w:cs="Times New Roman" w:eastAsiaTheme="minorEastAsia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Lỗi</w:t>
            </w:r>
          </w:p>
        </w:tc>
        <w:tc>
          <w:tcPr>
            <w:tcW w:w="2623" w:type="dxa"/>
            <w:shd w:val="clear"/>
            <w:vAlign w:val="top"/>
          </w:tcPr>
          <w:p w14:paraId="7D2C9BBF">
            <w:pPr>
              <w:jc w:val="left"/>
              <w:rPr>
                <w:rFonts w:hint="default" w:ascii="Times New Roman" w:hAnsi="Times New Roman" w:cs="Times New Roman" w:eastAsiaTheme="minorEastAsia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Nguyên tắc vi phạm</w:t>
            </w:r>
          </w:p>
        </w:tc>
        <w:tc>
          <w:tcPr>
            <w:tcW w:w="2645" w:type="dxa"/>
            <w:shd w:val="clear"/>
            <w:vAlign w:val="top"/>
          </w:tcPr>
          <w:p w14:paraId="2417F25D">
            <w:pPr>
              <w:jc w:val="left"/>
              <w:rPr>
                <w:rFonts w:hint="default" w:ascii="Times New Roman" w:hAnsi="Times New Roman" w:cs="Times New Roman" w:eastAsiaTheme="minorEastAsia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Cách sửa</w:t>
            </w:r>
          </w:p>
        </w:tc>
      </w:tr>
      <w:tr w14:paraId="4FE37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83" w:type="dxa"/>
          </w:tcPr>
          <w:p w14:paraId="077B91B3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571" w:type="dxa"/>
            <w:shd w:val="clear"/>
            <w:vAlign w:val="top"/>
          </w:tcPr>
          <w:p w14:paraId="0882E61A">
            <w:pPr>
              <w:jc w:val="left"/>
              <w:rPr>
                <w:rFonts w:hint="default" w:ascii="Times New Roman" w:hAnsi="Times New Roman" w:cs="Times New Roman" w:eastAsiaTheme="minorEastAsia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Nút hủy là CTA phụ nhưng đang có kích thước to hơn và màu sắc nổi bật hơn nút tiếp tục</w:t>
            </w:r>
          </w:p>
        </w:tc>
        <w:tc>
          <w:tcPr>
            <w:tcW w:w="2623" w:type="dxa"/>
          </w:tcPr>
          <w:p w14:paraId="3025A704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Hierarchy</w:t>
            </w:r>
          </w:p>
        </w:tc>
        <w:tc>
          <w:tcPr>
            <w:tcW w:w="2645" w:type="dxa"/>
            <w:shd w:val="clear"/>
            <w:vAlign w:val="top"/>
          </w:tcPr>
          <w:p w14:paraId="5BCB6FAD">
            <w:pPr>
              <w:jc w:val="left"/>
              <w:rPr>
                <w:rFonts w:hint="default" w:ascii="Times New Roman" w:hAnsi="Times New Roman" w:cs="Times New Roman" w:eastAsiaTheme="minorEastAsia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Thu nhỏ nút hủy lại ngang với nút tiếp tục đồng thời giảm cường độ màu xuống nhạt hơn</w:t>
            </w:r>
          </w:p>
        </w:tc>
      </w:tr>
      <w:tr w14:paraId="55A4E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83" w:type="dxa"/>
          </w:tcPr>
          <w:p w14:paraId="3AFCDED6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571" w:type="dxa"/>
          </w:tcPr>
          <w:p w14:paraId="6B529FBA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Chức năng đặt lịch khám đang chưa có tính năng hủy vì thế việc để tính năng hủy làm người dùng phân vân về việc chọn nút bấm</w:t>
            </w:r>
          </w:p>
        </w:tc>
        <w:tc>
          <w:tcPr>
            <w:tcW w:w="2623" w:type="dxa"/>
          </w:tcPr>
          <w:p w14:paraId="7CD5C9AB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Simplicity</w:t>
            </w:r>
          </w:p>
        </w:tc>
        <w:tc>
          <w:tcPr>
            <w:tcW w:w="2645" w:type="dxa"/>
            <w:shd w:val="clear"/>
            <w:vAlign w:val="top"/>
          </w:tcPr>
          <w:p w14:paraId="78A2FBA2">
            <w:pPr>
              <w:jc w:val="left"/>
              <w:rPr>
                <w:rFonts w:hint="default" w:ascii="Times New Roman" w:hAnsi="Times New Roman" w:cs="Times New Roman" w:eastAsiaTheme="minorEastAsia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Bỏ đi nút hủy</w:t>
            </w:r>
          </w:p>
        </w:tc>
      </w:tr>
      <w:tr w14:paraId="64C89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683" w:type="dxa"/>
          </w:tcPr>
          <w:p w14:paraId="27BA6395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2571" w:type="dxa"/>
          </w:tcPr>
          <w:p w14:paraId="26187E00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Khung ngày khám chưa có nhắc nhỏ người dùng phải chọn ngày đặt lịch trong vòng 14 ngày tới</w:t>
            </w:r>
          </w:p>
        </w:tc>
        <w:tc>
          <w:tcPr>
            <w:tcW w:w="2623" w:type="dxa"/>
          </w:tcPr>
          <w:p w14:paraId="6EDB7084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Clarity</w:t>
            </w:r>
          </w:p>
        </w:tc>
        <w:tc>
          <w:tcPr>
            <w:tcW w:w="2645" w:type="dxa"/>
            <w:shd w:val="clear"/>
            <w:vAlign w:val="top"/>
          </w:tcPr>
          <w:p w14:paraId="20763BB2">
            <w:pPr>
              <w:jc w:val="left"/>
              <w:rPr>
                <w:rFonts w:hint="default" w:ascii="Times New Roman" w:hAnsi="Times New Roman" w:cs="Times New Roman" w:eastAsiaTheme="minorEastAsia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Có thể thêm 1 dòng thông báo nhỏ dưới ô chọn ngày: “Chọn ngày khám trong vòng 14 ngày tới”</w:t>
            </w:r>
          </w:p>
        </w:tc>
      </w:tr>
    </w:tbl>
    <w:p w14:paraId="1EEB08B5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CTA chính - Lý do: CTA chính là nút tiếp tục - Lý do là: Nút tiếp tục sẽ đưa người dùng đến giao diện chọn dịch vụ đi kèm (Có thể không chọn) và số lượng đồng thời đưa ra chi phí dự kiến.</w:t>
      </w:r>
    </w:p>
    <w:p w14:paraId="7CCEC302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D7D1AAA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Câu 5: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3EEF7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5000891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Khía cạnh</w:t>
            </w:r>
          </w:p>
        </w:tc>
        <w:tc>
          <w:tcPr>
            <w:tcW w:w="4261" w:type="dxa"/>
          </w:tcPr>
          <w:p w14:paraId="76BF1F09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Tác động</w:t>
            </w:r>
          </w:p>
        </w:tc>
      </w:tr>
      <w:tr w14:paraId="7512E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03AC6B74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Giao diện</w:t>
            </w:r>
          </w:p>
        </w:tc>
        <w:tc>
          <w:tcPr>
            <w:tcW w:w="4261" w:type="dxa"/>
          </w:tcPr>
          <w:p w14:paraId="5D8C92D3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Thêm giao diện cho chức năng đặt lịch khám hộ người thân và giao diện hồ sơ người khám</w:t>
            </w:r>
          </w:p>
        </w:tc>
      </w:tr>
      <w:tr w14:paraId="55D40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656F6406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Validation</w:t>
            </w:r>
          </w:p>
        </w:tc>
        <w:tc>
          <w:tcPr>
            <w:tcW w:w="4261" w:type="dxa"/>
          </w:tcPr>
          <w:p w14:paraId="0BC37E80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Ảnh hưởng đến quy tắc nghiệp vụ chức năng như: Kiểm tra hồ sơ người khám có độc nhất không, kiểm tra tài khoản đặt lịch cho mình hay cho người thân</w:t>
            </w:r>
          </w:p>
        </w:tc>
      </w:tr>
      <w:tr w14:paraId="3B62A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5E0811D9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Usecase/Activity</w:t>
            </w:r>
          </w:p>
        </w:tc>
        <w:tc>
          <w:tcPr>
            <w:tcW w:w="4261" w:type="dxa"/>
          </w:tcPr>
          <w:p w14:paraId="017062CE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Phải vẽ thêm luồng hoạt động thêm cho chức năng đặt lịch hộ người thân</w:t>
            </w:r>
          </w:p>
        </w:tc>
      </w:tr>
      <w:tr w14:paraId="2F3F7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1" w:type="dxa"/>
          </w:tcPr>
          <w:p w14:paraId="12FDABF7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ERD</w:t>
            </w:r>
          </w:p>
        </w:tc>
        <w:tc>
          <w:tcPr>
            <w:tcW w:w="4261" w:type="dxa"/>
          </w:tcPr>
          <w:p w14:paraId="1C272E3D">
            <w:pPr>
              <w:jc w:val="left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Phải thêm thực thể hồ sơ người thân (HoSoNguoiThan) và đưa khóa ngoại vào thực thể TaiKhoan</w:t>
            </w:r>
          </w:p>
        </w:tc>
      </w:tr>
    </w:tbl>
    <w:p w14:paraId="2F7CE1B0">
      <w:pPr>
        <w:jc w:val="left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185562"/>
    <w:rsid w:val="61185562"/>
    <w:rsid w:val="70A13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32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2026-10-02T06:39:00Z</dcterms:created>
  <dc:creator>31 Nguyễn Minh Trung</dc:creator>
  <cp:lastModifiedBy>31 Nguyễn Minh Trung</cp:lastModifiedBy>
  <dcterms:modified xsi:type="dcterms:W3CDTF">2026-10-02T07:43:31Z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1066-12.1.0.28485</vt:lpwstr>
  </property>
  <property fmtid="{D5CDD505-2E9C-101B-9397-08002B2CF9AE}" pid="3" name="ICV">
    <vt:lpwstr>41B7BEFA48624F5C85A6247AEDFF85D0_11</vt:lpwstr>
  </property>
  <property fmtid="{D5CDD505-2E9C-101B-9397-08002B2CF9AE}" pid="4" name="KSOTemplateDocerSaveRecord">
    <vt:lpwstr>eyJoZGlkIjoiM2ZlZjFhYTNiNWU0MTQ1ZDM1MDZhMzdhMTE0ODQ0ZWIiLCJ1c2VySWQiOiIxMzkyMjQ5NjM0MTQwIn0=</vt:lpwstr>
  </property>
</Properties>
</file>