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4"/>
        </w:rPr>
        <w:t>PHÂN LOẠI VÀ SỬA BIÊN BẢN SPRINT RETROSPECTIVE</w:t>
      </w:r>
    </w:p>
    <w:p>
      <w:pPr>
        <w:jc w:val="center"/>
      </w:pPr>
      <w:r>
        <w:rPr>
          <w:i/>
          <w:sz w:val="22"/>
        </w:rPr>
        <w:t>Dự án: RikkeiAssist – Sprint 11</w:t>
      </w:r>
    </w:p>
    <w:tbl>
      <w:tblPr>
        <w:tblStyle w:val="TableGrid"/>
        <w:tblW w:type="auto" w:w="0"/>
        <w:tblLook w:firstColumn="1" w:firstRow="1" w:lastColumn="0" w:lastRow="0" w:noHBand="0" w:noVBand="1" w:val="04A0"/>
      </w:tblPr>
      <w:tblGrid>
        <w:gridCol w:w="5112"/>
        <w:gridCol w:w="5112"/>
      </w:tblGrid>
      <w:tr>
        <w:tc>
          <w:tcPr>
            <w:tcW w:type="dxa" w:w="5112"/>
            <w:vAlign w:val="center"/>
          </w:tcPr>
          <w:p>
            <w:pPr>
              <w:spacing w:after="0"/>
            </w:pPr>
            <w:r/>
            <w:r>
              <w:rPr>
                <w:rFonts w:ascii="Arial" w:hAnsi="Arial" w:eastAsia="Arial"/>
                <w:b/>
                <w:sz w:val="18"/>
              </w:rPr>
              <w:t>Sinh viên: Phan Đình Nghị</w:t>
            </w:r>
          </w:p>
        </w:tc>
        <w:tc>
          <w:tcPr>
            <w:tcW w:type="dxa" w:w="5112"/>
            <w:vAlign w:val="center"/>
          </w:tcPr>
          <w:p>
            <w:pPr>
              <w:spacing w:after="0"/>
            </w:pPr>
            <w:r/>
            <w:r>
              <w:rPr>
                <w:rFonts w:ascii="Arial" w:hAnsi="Arial" w:eastAsia="Arial"/>
                <w:b/>
                <w:sz w:val="18"/>
              </w:rPr>
              <w:t>MSSV: N24DTCN054</w:t>
            </w:r>
          </w:p>
        </w:tc>
      </w:tr>
      <w:tr>
        <w:tc>
          <w:tcPr>
            <w:tcW w:type="dxa" w:w="5112"/>
            <w:vAlign w:val="center"/>
          </w:tcPr>
          <w:p>
            <w:pPr>
              <w:spacing w:after="0"/>
            </w:pPr>
            <w:r/>
            <w:r>
              <w:rPr>
                <w:rFonts w:ascii="Arial" w:hAnsi="Arial" w:eastAsia="Arial"/>
                <w:b w:val="0"/>
                <w:sz w:val="18"/>
              </w:rPr>
              <w:t>Môn học: Phân tích và phát triển phần mềm</w:t>
            </w:r>
          </w:p>
        </w:tc>
        <w:tc>
          <w:tcPr>
            <w:tcW w:type="dxa" w:w="5112"/>
            <w:vAlign w:val="center"/>
          </w:tcPr>
          <w:p>
            <w:pPr>
              <w:spacing w:after="0"/>
            </w:pPr>
            <w:r/>
            <w:r>
              <w:rPr>
                <w:rFonts w:ascii="Arial" w:hAnsi="Arial" w:eastAsia="Arial"/>
                <w:b w:val="0"/>
                <w:sz w:val="18"/>
              </w:rPr>
              <w:t>Nội dung: Sprint Retrospective</w:t>
            </w:r>
          </w:p>
        </w:tc>
      </w:tr>
    </w:tbl>
    <w:p>
      <w:pPr>
        <w:pStyle w:val="Heading1"/>
      </w:pPr>
      <w:r>
        <w:t>PHẦN 1 – PHÂN LOẠI Ý KIẾN</w:t>
      </w:r>
    </w:p>
    <w:p>
      <w:r>
        <w:t>Sprint Retrospective tập trung vào cách Scrum Team phối hợp, quy trình, công cụ và chất lượng làm việc. Các ý kiến về tính năng hoặc mục tiêu chất lượng sản phẩm cần chuyển sang Product Backlog hoặc hoạt động lập kế hoạch sản phẩm phù hợp.</w:t>
      </w:r>
    </w:p>
    <w:tbl>
      <w:tblPr>
        <w:tblStyle w:val="TableGrid"/>
        <w:tblW w:type="auto" w:w="0"/>
        <w:jc w:val="center"/>
        <w:tblLook w:firstColumn="1" w:firstRow="1" w:lastColumn="0" w:lastRow="0" w:noHBand="0" w:noVBand="1" w:val="04A0"/>
      </w:tblPr>
      <w:tblGrid>
        <w:gridCol w:w="3408"/>
        <w:gridCol w:w="3408"/>
        <w:gridCol w:w="3408"/>
      </w:tblGrid>
      <w:tr>
        <w:tc>
          <w:tcPr>
            <w:tcW w:type="dxa" w:w="792"/>
            <w:vAlign w:val="center"/>
            <w:shd w:fill="1F4E79"/>
          </w:tcPr>
          <w:p>
            <w:pPr>
              <w:spacing w:after="0"/>
            </w:pPr>
            <w:r/>
            <w:r>
              <w:rPr>
                <w:rFonts w:ascii="Arial" w:hAnsi="Arial" w:eastAsia="Arial"/>
                <w:b/>
                <w:color w:val="FFFFFF"/>
                <w:sz w:val="18"/>
              </w:rPr>
              <w:t>Mã</w:t>
            </w:r>
          </w:p>
        </w:tc>
        <w:tc>
          <w:tcPr>
            <w:tcW w:type="dxa" w:w="1944"/>
            <w:vAlign w:val="center"/>
            <w:shd w:fill="1F4E79"/>
          </w:tcPr>
          <w:p>
            <w:pPr>
              <w:spacing w:after="0"/>
            </w:pPr>
            <w:r/>
            <w:r>
              <w:rPr>
                <w:rFonts w:ascii="Arial" w:hAnsi="Arial" w:eastAsia="Arial"/>
                <w:b/>
                <w:color w:val="FFFFFF"/>
                <w:sz w:val="18"/>
              </w:rPr>
              <w:t>Phân loại</w:t>
            </w:r>
          </w:p>
        </w:tc>
        <w:tc>
          <w:tcPr>
            <w:tcW w:type="dxa" w:w="7488"/>
            <w:vAlign w:val="center"/>
            <w:shd w:fill="1F4E79"/>
          </w:tcPr>
          <w:p>
            <w:pPr>
              <w:spacing w:after="0"/>
            </w:pPr>
            <w:r/>
            <w:r>
              <w:rPr>
                <w:rFonts w:ascii="Arial" w:hAnsi="Arial" w:eastAsia="Arial"/>
                <w:b/>
                <w:color w:val="FFFFFF"/>
                <w:sz w:val="18"/>
              </w:rPr>
              <w:t>Cách xử lý</w:t>
            </w:r>
          </w:p>
        </w:tc>
      </w:tr>
      <w:tr>
        <w:tc>
          <w:tcPr>
            <w:tcW w:type="dxa" w:w="792"/>
            <w:vAlign w:val="center"/>
          </w:tcPr>
          <w:p>
            <w:pPr>
              <w:spacing w:after="0"/>
            </w:pPr>
            <w:r/>
            <w:r>
              <w:rPr>
                <w:rFonts w:ascii="Arial" w:hAnsi="Arial" w:eastAsia="Arial"/>
                <w:b w:val="0"/>
                <w:sz w:val="17"/>
              </w:rPr>
              <w:t>R-01</w:t>
            </w:r>
          </w:p>
        </w:tc>
        <w:tc>
          <w:tcPr>
            <w:tcW w:type="dxa" w:w="1944"/>
            <w:vAlign w:val="center"/>
          </w:tcPr>
          <w:p>
            <w:pPr>
              <w:spacing w:after="0"/>
            </w:pPr>
            <w:r/>
            <w:r>
              <w:rPr>
                <w:rFonts w:ascii="Arial" w:hAnsi="Arial" w:eastAsia="Arial"/>
                <w:b w:val="0"/>
                <w:sz w:val="17"/>
              </w:rPr>
              <w:t>Phản hồi sản phẩm</w:t>
            </w:r>
          </w:p>
        </w:tc>
        <w:tc>
          <w:tcPr>
            <w:tcW w:type="dxa" w:w="7488"/>
            <w:vAlign w:val="center"/>
          </w:tcPr>
          <w:p>
            <w:pPr>
              <w:spacing w:after="0"/>
            </w:pPr>
            <w:r/>
            <w:r>
              <w:rPr>
                <w:rFonts w:ascii="Arial" w:hAnsi="Arial" w:eastAsia="Arial"/>
                <w:b w:val="0"/>
                <w:sz w:val="17"/>
              </w:rPr>
              <w:t>Chuyển sang Product Backlog. Đây là đề xuất tính năng cho khách tự hủy đơn trên mạng xã hội, không phải thay đổi cách làm việc của nhóm. PO cùng nhóm đánh giá giá trị, độ ưu tiên và đưa vào backlog nếu phù hợp.</w:t>
            </w:r>
          </w:p>
        </w:tc>
      </w:tr>
      <w:tr>
        <w:tc>
          <w:tcPr>
            <w:tcW w:type="dxa" w:w="792"/>
            <w:vAlign w:val="center"/>
            <w:shd w:fill="F2F6FA"/>
          </w:tcPr>
          <w:p>
            <w:pPr>
              <w:spacing w:after="0"/>
            </w:pPr>
            <w:r/>
            <w:r>
              <w:rPr>
                <w:rFonts w:ascii="Arial" w:hAnsi="Arial" w:eastAsia="Arial"/>
                <w:b w:val="0"/>
                <w:sz w:val="17"/>
              </w:rPr>
              <w:t>R-02</w:t>
            </w:r>
          </w:p>
        </w:tc>
        <w:tc>
          <w:tcPr>
            <w:tcW w:type="dxa" w:w="1944"/>
            <w:vAlign w:val="center"/>
            <w:shd w:fill="F2F6FA"/>
          </w:tcPr>
          <w:p>
            <w:pPr>
              <w:spacing w:after="0"/>
            </w:pPr>
            <w:r/>
            <w:r>
              <w:rPr>
                <w:rFonts w:ascii="Arial" w:hAnsi="Arial" w:eastAsia="Arial"/>
                <w:b w:val="0"/>
                <w:sz w:val="17"/>
              </w:rPr>
              <w:t>Cách làm việc – cần cụ thể hóa</w:t>
            </w:r>
          </w:p>
        </w:tc>
        <w:tc>
          <w:tcPr>
            <w:tcW w:type="dxa" w:w="7488"/>
            <w:vAlign w:val="center"/>
            <w:shd w:fill="F2F6FA"/>
          </w:tcPr>
          <w:p>
            <w:pPr>
              <w:spacing w:after="0"/>
            </w:pPr>
            <w:r/>
            <w:r>
              <w:rPr>
                <w:rFonts w:ascii="Arial" w:hAnsi="Arial" w:eastAsia="Arial"/>
                <w:b w:val="0"/>
                <w:sz w:val="17"/>
              </w:rPr>
              <w:t>Giữ chủ đề nhưng viết thành hành động quan sát được: “Khi có thay đổi quy tắc xử lý, nhóm cập nhật tài liệu chung và thông báo trong kênh làm việc chung trước khi triển khai.” Không dùng mục tiêu mơ hồ “giao tiếp tốt hơn”.</w:t>
            </w:r>
          </w:p>
        </w:tc>
      </w:tr>
      <w:tr>
        <w:tc>
          <w:tcPr>
            <w:tcW w:type="dxa" w:w="792"/>
            <w:vAlign w:val="center"/>
          </w:tcPr>
          <w:p>
            <w:pPr>
              <w:spacing w:after="0"/>
            </w:pPr>
            <w:r/>
            <w:r>
              <w:rPr>
                <w:rFonts w:ascii="Arial" w:hAnsi="Arial" w:eastAsia="Arial"/>
                <w:b w:val="0"/>
                <w:sz w:val="17"/>
              </w:rPr>
              <w:t>R-03</w:t>
            </w:r>
          </w:p>
        </w:tc>
        <w:tc>
          <w:tcPr>
            <w:tcW w:type="dxa" w:w="1944"/>
            <w:vAlign w:val="center"/>
          </w:tcPr>
          <w:p>
            <w:pPr>
              <w:spacing w:after="0"/>
            </w:pPr>
            <w:r/>
            <w:r>
              <w:rPr>
                <w:rFonts w:ascii="Arial" w:hAnsi="Arial" w:eastAsia="Arial"/>
                <w:b w:val="0"/>
                <w:sz w:val="17"/>
              </w:rPr>
              <w:t>Cách làm việc – cần viết lại</w:t>
            </w:r>
          </w:p>
        </w:tc>
        <w:tc>
          <w:tcPr>
            <w:tcW w:type="dxa" w:w="7488"/>
            <w:vAlign w:val="center"/>
          </w:tcPr>
          <w:p>
            <w:pPr>
              <w:spacing w:after="0"/>
            </w:pPr>
            <w:r/>
            <w:r>
              <w:rPr>
                <w:rFonts w:ascii="Arial" w:hAnsi="Arial" w:eastAsia="Arial"/>
                <w:b w:val="0"/>
                <w:sz w:val="17"/>
              </w:rPr>
              <w:t>Viết trung lập: “Khi quy tắc chuyển người cần thay đổi, nhóm thống nhất người có thẩm quyền cập nhật, thông báo thay đổi trong kênh chung và cập nhật tài liệu trước khi áp dụng.” Tập trung vào quy trình, không quy trách nhiệm cho Nam.</w:t>
            </w:r>
          </w:p>
        </w:tc>
      </w:tr>
      <w:tr>
        <w:tc>
          <w:tcPr>
            <w:tcW w:type="dxa" w:w="792"/>
            <w:vAlign w:val="center"/>
            <w:shd w:fill="F2F6FA"/>
          </w:tcPr>
          <w:p>
            <w:pPr>
              <w:spacing w:after="0"/>
            </w:pPr>
            <w:r/>
            <w:r>
              <w:rPr>
                <w:rFonts w:ascii="Arial" w:hAnsi="Arial" w:eastAsia="Arial"/>
                <w:b w:val="0"/>
                <w:sz w:val="17"/>
              </w:rPr>
              <w:t>R-04</w:t>
            </w:r>
          </w:p>
        </w:tc>
        <w:tc>
          <w:tcPr>
            <w:tcW w:type="dxa" w:w="1944"/>
            <w:vAlign w:val="center"/>
            <w:shd w:fill="F2F6FA"/>
          </w:tcPr>
          <w:p>
            <w:pPr>
              <w:spacing w:after="0"/>
            </w:pPr>
            <w:r/>
            <w:r>
              <w:rPr>
                <w:rFonts w:ascii="Arial" w:hAnsi="Arial" w:eastAsia="Arial"/>
                <w:b w:val="0"/>
                <w:sz w:val="17"/>
              </w:rPr>
              <w:t>Cách làm việc</w:t>
            </w:r>
          </w:p>
        </w:tc>
        <w:tc>
          <w:tcPr>
            <w:tcW w:type="dxa" w:w="7488"/>
            <w:vAlign w:val="center"/>
            <w:shd w:fill="F2F6FA"/>
          </w:tcPr>
          <w:p>
            <w:pPr>
              <w:spacing w:after="0"/>
            </w:pPr>
            <w:r/>
            <w:r>
              <w:rPr>
                <w:rFonts w:ascii="Arial" w:hAnsi="Arial" w:eastAsia="Arial"/>
                <w:b w:val="0"/>
                <w:sz w:val="17"/>
              </w:rPr>
              <w:t>Giữ ở cột Stop vì mô tả hành vi cần dừng. Có thể viết rõ hơn: “Dừng áp dụng thay đổi quy tắc chỉ qua tin nhắn riêng khi tài liệu chung chưa được cập nhật.” Liên kết với hành động cải tiến có thể kiểm tra.</w:t>
            </w:r>
          </w:p>
        </w:tc>
      </w:tr>
      <w:tr>
        <w:tc>
          <w:tcPr>
            <w:tcW w:type="dxa" w:w="792"/>
            <w:vAlign w:val="center"/>
          </w:tcPr>
          <w:p>
            <w:pPr>
              <w:spacing w:after="0"/>
            </w:pPr>
            <w:r/>
            <w:r>
              <w:rPr>
                <w:rFonts w:ascii="Arial" w:hAnsi="Arial" w:eastAsia="Arial"/>
                <w:b w:val="0"/>
                <w:sz w:val="17"/>
              </w:rPr>
              <w:t>R-05</w:t>
            </w:r>
          </w:p>
        </w:tc>
        <w:tc>
          <w:tcPr>
            <w:tcW w:type="dxa" w:w="1944"/>
            <w:vAlign w:val="center"/>
          </w:tcPr>
          <w:p>
            <w:pPr>
              <w:spacing w:after="0"/>
            </w:pPr>
            <w:r/>
            <w:r>
              <w:rPr>
                <w:rFonts w:ascii="Arial" w:hAnsi="Arial" w:eastAsia="Arial"/>
                <w:b w:val="0"/>
                <w:sz w:val="17"/>
              </w:rPr>
              <w:t>Cách làm việc</w:t>
            </w:r>
          </w:p>
        </w:tc>
        <w:tc>
          <w:tcPr>
            <w:tcW w:type="dxa" w:w="7488"/>
            <w:vAlign w:val="center"/>
          </w:tcPr>
          <w:p>
            <w:pPr>
              <w:spacing w:after="0"/>
            </w:pPr>
            <w:r/>
            <w:r>
              <w:rPr>
                <w:rFonts w:ascii="Arial" w:hAnsi="Arial" w:eastAsia="Arial"/>
                <w:b w:val="0"/>
                <w:sz w:val="17"/>
              </w:rPr>
              <w:t>Giữ ở cột Continue. Pairing giữa người kiểm thử và người phát triển luồng hội thoại giúp cùng tái hiện lỗi, chia sẻ bối cảnh và phát hiện vấn đề sớm. Tiếp tục thực hiện khi điều tra lỗi tương tự.</w:t>
            </w:r>
          </w:p>
        </w:tc>
      </w:tr>
      <w:tr>
        <w:tc>
          <w:tcPr>
            <w:tcW w:type="dxa" w:w="792"/>
            <w:vAlign w:val="center"/>
            <w:shd w:fill="F2F6FA"/>
          </w:tcPr>
          <w:p>
            <w:pPr>
              <w:spacing w:after="0"/>
            </w:pPr>
            <w:r/>
            <w:r>
              <w:rPr>
                <w:rFonts w:ascii="Arial" w:hAnsi="Arial" w:eastAsia="Arial"/>
                <w:b w:val="0"/>
                <w:sz w:val="17"/>
              </w:rPr>
              <w:t>R-06</w:t>
            </w:r>
          </w:p>
        </w:tc>
        <w:tc>
          <w:tcPr>
            <w:tcW w:type="dxa" w:w="1944"/>
            <w:vAlign w:val="center"/>
            <w:shd w:fill="F2F6FA"/>
          </w:tcPr>
          <w:p>
            <w:pPr>
              <w:spacing w:after="0"/>
            </w:pPr>
            <w:r/>
            <w:r>
              <w:rPr>
                <w:rFonts w:ascii="Arial" w:hAnsi="Arial" w:eastAsia="Arial"/>
                <w:b w:val="0"/>
                <w:sz w:val="17"/>
              </w:rPr>
              <w:t>Phản hồi sản phẩm</w:t>
            </w:r>
          </w:p>
        </w:tc>
        <w:tc>
          <w:tcPr>
            <w:tcW w:type="dxa" w:w="7488"/>
            <w:vAlign w:val="center"/>
            <w:shd w:fill="F2F6FA"/>
          </w:tcPr>
          <w:p>
            <w:pPr>
              <w:spacing w:after="0"/>
            </w:pPr>
            <w:r/>
            <w:r>
              <w:rPr>
                <w:rFonts w:ascii="Arial" w:hAnsi="Arial" w:eastAsia="Arial"/>
                <w:b w:val="0"/>
                <w:sz w:val="17"/>
              </w:rPr>
              <w:t>Chuyển sang Product Backlog/định hướng sản phẩm. Tỷ lệ AI tự trả lời 90% là mục tiêu chỉ số sản phẩm, không phải hành vi Start của nhóm. Cần xác định cách đo, chất lượng câu trả lời và rủi ro trước khi cam kết mục tiêu.</w:t>
            </w:r>
          </w:p>
        </w:tc>
      </w:tr>
      <w:tr>
        <w:tc>
          <w:tcPr>
            <w:tcW w:type="dxa" w:w="792"/>
            <w:vAlign w:val="center"/>
          </w:tcPr>
          <w:p>
            <w:pPr>
              <w:spacing w:after="0"/>
            </w:pPr>
            <w:r/>
            <w:r>
              <w:rPr>
                <w:rFonts w:ascii="Arial" w:hAnsi="Arial" w:eastAsia="Arial"/>
                <w:b w:val="0"/>
                <w:sz w:val="17"/>
              </w:rPr>
              <w:t>R-07</w:t>
            </w:r>
          </w:p>
        </w:tc>
        <w:tc>
          <w:tcPr>
            <w:tcW w:type="dxa" w:w="1944"/>
            <w:vAlign w:val="center"/>
          </w:tcPr>
          <w:p>
            <w:pPr>
              <w:spacing w:after="0"/>
            </w:pPr>
            <w:r/>
            <w:r>
              <w:rPr>
                <w:rFonts w:ascii="Arial" w:hAnsi="Arial" w:eastAsia="Arial"/>
                <w:b w:val="0"/>
                <w:sz w:val="17"/>
              </w:rPr>
              <w:t>Cách làm việc – không chấp nhận đề xuất</w:t>
            </w:r>
          </w:p>
        </w:tc>
        <w:tc>
          <w:tcPr>
            <w:tcW w:type="dxa" w:w="7488"/>
            <w:vAlign w:val="center"/>
          </w:tcPr>
          <w:p>
            <w:pPr>
              <w:spacing w:after="0"/>
            </w:pPr>
            <w:r/>
            <w:r>
              <w:rPr>
                <w:rFonts w:ascii="Arial" w:hAnsi="Arial" w:eastAsia="Arial"/>
                <w:b w:val="0"/>
                <w:sz w:val="17"/>
              </w:rPr>
              <w:t>Không bỏ yêu cầu “không còn lỗi mức nghiêm trọng cao” khỏi Definition of Done để chạy kịp tiến độ. Giữ nguyên chuẩn chất lượng; nhóm có thể cải thiện cách lập kế hoạch, giảm phạm vi hoặc xử lý rủi ro để hoàn thành mà không hạ DoD.</w:t>
            </w:r>
          </w:p>
        </w:tc>
      </w:tr>
    </w:tbl>
    <w:p>
      <w:pPr>
        <w:spacing w:after="20"/>
      </w:pPr>
    </w:p>
    <w:p>
      <w:pPr>
        <w:pStyle w:val="Heading1"/>
      </w:pPr>
      <w:r>
        <w:t>PHẦN 2 – RÀ SOÁT VÀ SỬA IMPROVEMENT</w:t>
      </w:r>
    </w:p>
    <w:p>
      <w:r>
        <w:t>Chọn hai Improvement có tác động trực tiếp đến nguyên nhân đã quan sát và có thể kiểm tra trong Sprint 12: cập nhật tài liệu khi đổi quy tắc và đưa Integration Test trở lại đúng thời điểm. Không chọn các mục tiêu mơ hồ hoặc chỉ số sản phẩm thay cho cải tiến quy trình.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16"/>
            <w:vAlign w:val="center"/>
            <w:shd w:fill="1F4E79"/>
          </w:tcPr>
          <w:p>
            <w:pPr>
              <w:spacing w:after="0"/>
            </w:pPr>
            <w:r/>
            <w:r>
              <w:rPr>
                <w:rFonts w:ascii="Arial" w:hAnsi="Arial" w:eastAsia="Arial"/>
                <w:b/>
                <w:color w:val="FFFFFF"/>
                <w:sz w:val="18"/>
              </w:rPr>
              <w:t>Hành động</w:t>
            </w:r>
          </w:p>
        </w:tc>
        <w:tc>
          <w:tcPr>
            <w:tcW w:type="dxa" w:w="1944"/>
            <w:vAlign w:val="center"/>
            <w:shd w:fill="1F4E79"/>
          </w:tcPr>
          <w:p>
            <w:pPr>
              <w:spacing w:after="0"/>
            </w:pPr>
            <w:r/>
            <w:r>
              <w:rPr>
                <w:rFonts w:ascii="Arial" w:hAnsi="Arial" w:eastAsia="Arial"/>
                <w:b/>
                <w:color w:val="FFFFFF"/>
                <w:sz w:val="18"/>
              </w:rPr>
              <w:t>Người/nhóm theo dõi</w:t>
            </w:r>
          </w:p>
        </w:tc>
        <w:tc>
          <w:tcPr>
            <w:tcW w:type="dxa" w:w="2088"/>
            <w:vAlign w:val="center"/>
            <w:shd w:fill="1F4E79"/>
          </w:tcPr>
          <w:p>
            <w:pPr>
              <w:spacing w:after="0"/>
            </w:pPr>
            <w:r/>
            <w:r>
              <w:rPr>
                <w:rFonts w:ascii="Arial" w:hAnsi="Arial" w:eastAsia="Arial"/>
                <w:b/>
                <w:color w:val="FFFFFF"/>
                <w:sz w:val="18"/>
              </w:rPr>
              <w:t>Khi kiểm tra</w:t>
            </w:r>
          </w:p>
        </w:tc>
        <w:tc>
          <w:tcPr>
            <w:tcW w:type="dxa" w:w="2376"/>
            <w:vAlign w:val="center"/>
            <w:shd w:fill="1F4E79"/>
          </w:tcPr>
          <w:p>
            <w:pPr>
              <w:spacing w:after="0"/>
            </w:pPr>
            <w:r/>
            <w:r>
              <w:rPr>
                <w:rFonts w:ascii="Arial" w:hAnsi="Arial" w:eastAsia="Arial"/>
                <w:b/>
                <w:color w:val="FFFFFF"/>
                <w:sz w:val="18"/>
              </w:rPr>
              <w:t>Bằng chứng</w:t>
            </w:r>
          </w:p>
        </w:tc>
      </w:tr>
      <w:tr>
        <w:tc>
          <w:tcPr>
            <w:tcW w:type="dxa" w:w="3816"/>
            <w:vAlign w:val="center"/>
          </w:tcPr>
          <w:p>
            <w:pPr>
              <w:spacing w:after="0"/>
            </w:pPr>
            <w:r/>
            <w:r>
              <w:rPr>
                <w:rFonts w:ascii="Arial" w:hAnsi="Arial" w:eastAsia="Arial"/>
                <w:b w:val="0"/>
                <w:sz w:val="17"/>
              </w:rPr>
              <w:t>Khi quy tắc chuyển người thay đổi, nhóm cập nhật tài liệu chung và thông báo trong kênh chung trước khi triển khai; người thay đổi quy tắc phối hợp với một Developer khác để xác nhận nội dung.</w:t>
            </w:r>
          </w:p>
        </w:tc>
        <w:tc>
          <w:tcPr>
            <w:tcW w:type="dxa" w:w="1944"/>
            <w:vAlign w:val="center"/>
          </w:tcPr>
          <w:p>
            <w:pPr>
              <w:spacing w:after="0"/>
            </w:pPr>
            <w:r/>
            <w:r>
              <w:rPr>
                <w:rFonts w:ascii="Arial" w:hAnsi="Arial" w:eastAsia="Arial"/>
                <w:b w:val="0"/>
                <w:sz w:val="17"/>
              </w:rPr>
              <w:t>Developers; Scrum Master hỗ trợ theo dõi</w:t>
            </w:r>
          </w:p>
        </w:tc>
        <w:tc>
          <w:tcPr>
            <w:tcW w:type="dxa" w:w="2088"/>
            <w:vAlign w:val="center"/>
          </w:tcPr>
          <w:p>
            <w:pPr>
              <w:spacing w:after="0"/>
            </w:pPr>
            <w:r/>
            <w:r>
              <w:rPr>
                <w:rFonts w:ascii="Arial" w:hAnsi="Arial" w:eastAsia="Arial"/>
                <w:b w:val="0"/>
                <w:sz w:val="17"/>
              </w:rPr>
              <w:t>Mỗi lần thay đổi trong Sprint 12; rà soát tại Daily Scrum và cuối Sprint</w:t>
            </w:r>
          </w:p>
        </w:tc>
        <w:tc>
          <w:tcPr>
            <w:tcW w:type="dxa" w:w="2376"/>
            <w:vAlign w:val="center"/>
          </w:tcPr>
          <w:p>
            <w:pPr>
              <w:spacing w:after="0"/>
            </w:pPr>
            <w:r/>
            <w:r>
              <w:rPr>
                <w:rFonts w:ascii="Arial" w:hAnsi="Arial" w:eastAsia="Arial"/>
                <w:b w:val="0"/>
                <w:sz w:val="17"/>
              </w:rPr>
              <w:t>Lịch sử phiên bản tài liệu có thời gian cập nhật trước thời điểm triển khai; thông báo trong kênh chung và checklist xác nhận</w:t>
            </w:r>
          </w:p>
        </w:tc>
      </w:tr>
      <w:tr>
        <w:tc>
          <w:tcPr>
            <w:tcW w:type="dxa" w:w="3816"/>
            <w:vAlign w:val="center"/>
            <w:shd w:fill="F2F6FA"/>
          </w:tcPr>
          <w:p>
            <w:pPr>
              <w:spacing w:after="0"/>
            </w:pPr>
            <w:r/>
            <w:r>
              <w:rPr>
                <w:rFonts w:ascii="Arial" w:hAnsi="Arial" w:eastAsia="Arial"/>
                <w:b w:val="0"/>
                <w:sz w:val="17"/>
              </w:rPr>
              <w:t>Lập lịch Integration Test ngay khi lập kế hoạch Sprint và thực hiện lần chạy đầu tiên không muộn hơn Ngày 4; nếu có nguy cơ trễ, Developers nêu trở ngại tại Daily Scrum và thống nhất xử lý trong ngày.</w:t>
            </w:r>
          </w:p>
        </w:tc>
        <w:tc>
          <w:tcPr>
            <w:tcW w:type="dxa" w:w="1944"/>
            <w:vAlign w:val="center"/>
            <w:shd w:fill="F2F6FA"/>
          </w:tcPr>
          <w:p>
            <w:pPr>
              <w:spacing w:after="0"/>
            </w:pPr>
            <w:r/>
            <w:r>
              <w:rPr>
                <w:rFonts w:ascii="Arial" w:hAnsi="Arial" w:eastAsia="Arial"/>
                <w:b w:val="0"/>
                <w:sz w:val="17"/>
              </w:rPr>
              <w:t>Developers; một thành viên được phân công ghi nhận kết quả kiểm thử</w:t>
            </w:r>
          </w:p>
        </w:tc>
        <w:tc>
          <w:tcPr>
            <w:tcW w:type="dxa" w:w="2088"/>
            <w:vAlign w:val="center"/>
            <w:shd w:fill="F2F6FA"/>
          </w:tcPr>
          <w:p>
            <w:pPr>
              <w:spacing w:after="0"/>
            </w:pPr>
            <w:r/>
            <w:r>
              <w:rPr>
                <w:rFonts w:ascii="Arial" w:hAnsi="Arial" w:eastAsia="Arial"/>
                <w:b w:val="0"/>
                <w:sz w:val="17"/>
              </w:rPr>
              <w:t>Kiểm tra vào cuối Ngày 4 và rà soát lại tại Sprint Review/Retrospective</w:t>
            </w:r>
          </w:p>
        </w:tc>
        <w:tc>
          <w:tcPr>
            <w:tcW w:type="dxa" w:w="2376"/>
            <w:vAlign w:val="center"/>
            <w:shd w:fill="F2F6FA"/>
          </w:tcPr>
          <w:p>
            <w:pPr>
              <w:spacing w:after="0"/>
            </w:pPr>
            <w:r/>
            <w:r>
              <w:rPr>
                <w:rFonts w:ascii="Arial" w:hAnsi="Arial" w:eastAsia="Arial"/>
                <w:b w:val="0"/>
                <w:sz w:val="17"/>
              </w:rPr>
              <w:t>Thời điểm chạy test đầu tiên trong log CI/test report; kết quả test và ghi nhận trở ngại nếu không đạt mốc</w:t>
            </w:r>
          </w:p>
        </w:tc>
      </w:tr>
    </w:tbl>
    <w:p>
      <w:pPr>
        <w:spacing w:after="20"/>
      </w:pPr>
    </w:p>
    <w:p>
      <w:pPr>
        <w:pStyle w:val="Heading2"/>
      </w:pPr>
      <w:r>
        <w:t>Rà soát bốn Improvement được đề xuất</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pPr>
              <w:spacing w:after="0"/>
            </w:pPr>
            <w:r/>
            <w:r>
              <w:rPr>
                <w:rFonts w:ascii="Arial" w:hAnsi="Arial" w:eastAsia="Arial"/>
                <w:b/>
                <w:color w:val="FFFFFF"/>
                <w:sz w:val="18"/>
              </w:rPr>
              <w:t>Improvement</w:t>
            </w:r>
          </w:p>
        </w:tc>
        <w:tc>
          <w:tcPr>
            <w:tcW w:type="dxa" w:w="7056"/>
            <w:vAlign w:val="center"/>
            <w:shd w:fill="1F4E79"/>
          </w:tcPr>
          <w:p>
            <w:pPr>
              <w:spacing w:after="0"/>
            </w:pPr>
            <w:r/>
            <w:r>
              <w:rPr>
                <w:rFonts w:ascii="Arial" w:hAnsi="Arial" w:eastAsia="Arial"/>
                <w:b/>
                <w:color w:val="FFFFFF"/>
                <w:sz w:val="18"/>
              </w:rPr>
              <w:t>Đánh giá</w:t>
            </w:r>
          </w:p>
        </w:tc>
      </w:tr>
      <w:tr>
        <w:tc>
          <w:tcPr>
            <w:tcW w:type="dxa" w:w="3168"/>
            <w:vAlign w:val="center"/>
          </w:tcPr>
          <w:p>
            <w:pPr>
              <w:spacing w:after="0"/>
            </w:pPr>
            <w:r/>
            <w:r>
              <w:rPr>
                <w:rFonts w:ascii="Arial" w:hAnsi="Arial" w:eastAsia="Arial"/>
                <w:b w:val="0"/>
                <w:sz w:val="17"/>
              </w:rPr>
              <w:t>IM-11-01 – “Giao tiếp tốt hơn”</w:t>
            </w:r>
          </w:p>
        </w:tc>
        <w:tc>
          <w:tcPr>
            <w:tcW w:type="dxa" w:w="7056"/>
            <w:vAlign w:val="center"/>
          </w:tcPr>
          <w:p>
            <w:pPr>
              <w:spacing w:after="0"/>
            </w:pPr>
            <w:r/>
            <w:r>
              <w:rPr>
                <w:rFonts w:ascii="Arial" w:hAnsi="Arial" w:eastAsia="Arial"/>
                <w:b w:val="0"/>
                <w:sz w:val="17"/>
              </w:rPr>
              <w:t>Không chọn nguyên văn: quá mơ hồ, không có bằng chứng hoặc tiêu chí kiểm tra. Nội dung được cụ thể hóa trong Improvement cập nhật tài liệu và thông báo thay đổi.</w:t>
            </w:r>
          </w:p>
        </w:tc>
      </w:tr>
      <w:tr>
        <w:tc>
          <w:tcPr>
            <w:tcW w:type="dxa" w:w="3168"/>
            <w:vAlign w:val="center"/>
            <w:shd w:fill="F2F6FA"/>
          </w:tcPr>
          <w:p>
            <w:pPr>
              <w:spacing w:after="0"/>
            </w:pPr>
            <w:r/>
            <w:r>
              <w:rPr>
                <w:rFonts w:ascii="Arial" w:hAnsi="Arial" w:eastAsia="Arial"/>
                <w:b w:val="0"/>
                <w:sz w:val="17"/>
              </w:rPr>
              <w:t>IM-11-02 – “Kiểm thử kỹ hơn”</w:t>
            </w:r>
          </w:p>
        </w:tc>
        <w:tc>
          <w:tcPr>
            <w:tcW w:type="dxa" w:w="7056"/>
            <w:vAlign w:val="center"/>
            <w:shd w:fill="F2F6FA"/>
          </w:tcPr>
          <w:p>
            <w:pPr>
              <w:spacing w:after="0"/>
            </w:pPr>
            <w:r/>
            <w:r>
              <w:rPr>
                <w:rFonts w:ascii="Arial" w:hAnsi="Arial" w:eastAsia="Arial"/>
                <w:b w:val="0"/>
                <w:sz w:val="17"/>
              </w:rPr>
              <w:t>Không chọn nguyên văn: “ít lỗi hơn” không đủ để xác minh. Thay bằng mốc Integration Test Ngày 4 với log kiểm thử làm bằng chứng.</w:t>
            </w:r>
          </w:p>
        </w:tc>
      </w:tr>
      <w:tr>
        <w:tc>
          <w:tcPr>
            <w:tcW w:type="dxa" w:w="3168"/>
            <w:vAlign w:val="center"/>
          </w:tcPr>
          <w:p>
            <w:pPr>
              <w:spacing w:after="0"/>
            </w:pPr>
            <w:r/>
            <w:r>
              <w:rPr>
                <w:rFonts w:ascii="Arial" w:hAnsi="Arial" w:eastAsia="Arial"/>
                <w:b w:val="0"/>
                <w:sz w:val="17"/>
              </w:rPr>
              <w:t>IM-11-03 – “Tăng tỷ lệ AI tự trả lời lên 90%”</w:t>
            </w:r>
          </w:p>
        </w:tc>
        <w:tc>
          <w:tcPr>
            <w:tcW w:type="dxa" w:w="7056"/>
            <w:vAlign w:val="center"/>
          </w:tcPr>
          <w:p>
            <w:pPr>
              <w:spacing w:after="0"/>
            </w:pPr>
            <w:r/>
            <w:r>
              <w:rPr>
                <w:rFonts w:ascii="Arial" w:hAnsi="Arial" w:eastAsia="Arial"/>
                <w:b w:val="0"/>
                <w:sz w:val="17"/>
              </w:rPr>
              <w:t>Không chọn cho Retrospective: đây là mục tiêu sản phẩm, cần chuyển sang Product Backlog/định hướng sản phẩm và xác định cách đo chất lượng.</w:t>
            </w:r>
          </w:p>
        </w:tc>
      </w:tr>
      <w:tr>
        <w:tc>
          <w:tcPr>
            <w:tcW w:type="dxa" w:w="3168"/>
            <w:vAlign w:val="center"/>
            <w:shd w:fill="F2F6FA"/>
          </w:tcPr>
          <w:p>
            <w:pPr>
              <w:spacing w:after="0"/>
            </w:pPr>
            <w:r/>
            <w:r>
              <w:rPr>
                <w:rFonts w:ascii="Arial" w:hAnsi="Arial" w:eastAsia="Arial"/>
                <w:b w:val="0"/>
                <w:sz w:val="17"/>
              </w:rPr>
              <w:t>IM-11-04 – Cập nhật tài liệu chung trước khi triển khai</w:t>
            </w:r>
          </w:p>
        </w:tc>
        <w:tc>
          <w:tcPr>
            <w:tcW w:type="dxa" w:w="7056"/>
            <w:vAlign w:val="center"/>
            <w:shd w:fill="F2F6FA"/>
          </w:tcPr>
          <w:p>
            <w:pPr>
              <w:spacing w:after="0"/>
            </w:pPr>
            <w:r/>
            <w:r>
              <w:rPr>
                <w:rFonts w:ascii="Arial" w:hAnsi="Arial" w:eastAsia="Arial"/>
                <w:b w:val="0"/>
                <w:sz w:val="17"/>
              </w:rPr>
              <w:t>Phù hợp về nội dung nhưng thiếu người/nhóm theo dõi và thời điểm kiểm tra. Được chọn và bổ sung đầy đủ các thông tin này.</w:t>
            </w:r>
          </w:p>
        </w:tc>
      </w:tr>
    </w:tbl>
    <w:p>
      <w:pPr>
        <w:spacing w:after="20"/>
      </w:pPr>
    </w:p>
    <w:p/>
    <w:p>
      <w:r>
        <w:rPr>
          <w:b/>
        </w:rPr>
        <w:t xml:space="preserve">Xử lý IM-10-02: </w:t>
      </w:r>
      <w:r>
        <w:t>Không bỏ qua hoặc chỉ gia hạn mốc một cách hình thức. Nhóm cần phân tích nguyên nhân vì sao Integration Test vẫn đến Ngày 8 (ví dụ: phụ thuộc tích hợp, môi trường hoặc phân công), ghi nhận trở ngại và áp dụng hành động mới: lên lịch từ đầu Sprint, chạy lần đầu không muộn hơn Ngày 4, kiểm tra log vào cuối Ngày 4. Nếu vẫn không đạt, nhóm ghi rõ nguyên nhân và điều chỉnh quy trình dựa trên dữ liệu tại Retrospective tiếp theo.</w:t>
      </w:r>
    </w:p>
    <w:p>
      <w:pPr>
        <w:pStyle w:val="Heading1"/>
      </w:pPr>
      <w:r>
        <w:t>PHẦN 3 – NHẬN XÉT CÁCH ĐIỀU PHỐI</w:t>
      </w:r>
    </w:p>
    <w:tbl>
      <w:tblPr>
        <w:tblStyle w:val="TableGrid"/>
        <w:tblW w:type="auto" w:w="0"/>
        <w:jc w:val="center"/>
        <w:tblLook w:firstColumn="1" w:firstRow="1" w:lastColumn="0" w:lastRow="0" w:noHBand="0" w:noVBand="1" w:val="04A0"/>
      </w:tblPr>
      <w:tblGrid>
        <w:gridCol w:w="5112"/>
        <w:gridCol w:w="5112"/>
      </w:tblGrid>
      <w:tr>
        <w:tc>
          <w:tcPr>
            <w:tcW w:type="dxa" w:w="3672"/>
            <w:vAlign w:val="center"/>
            <w:shd w:fill="1F4E79"/>
          </w:tcPr>
          <w:p>
            <w:pPr>
              <w:spacing w:after="0"/>
            </w:pPr>
            <w:r/>
            <w:r>
              <w:rPr>
                <w:rFonts w:ascii="Arial" w:hAnsi="Arial" w:eastAsia="Arial"/>
                <w:b/>
                <w:color w:val="FFFFFF"/>
                <w:sz w:val="18"/>
              </w:rPr>
              <w:t>Điểm chưa phù hợp</w:t>
            </w:r>
          </w:p>
        </w:tc>
        <w:tc>
          <w:tcPr>
            <w:tcW w:type="dxa" w:w="6552"/>
            <w:vAlign w:val="center"/>
            <w:shd w:fill="1F4E79"/>
          </w:tcPr>
          <w:p>
            <w:pPr>
              <w:spacing w:after="0"/>
            </w:pPr>
            <w:r/>
            <w:r>
              <w:rPr>
                <w:rFonts w:ascii="Arial" w:hAnsi="Arial" w:eastAsia="Arial"/>
                <w:b/>
                <w:color w:val="FFFFFF"/>
                <w:sz w:val="18"/>
              </w:rPr>
              <w:t>Tác động và cách điều chỉnh</w:t>
            </w:r>
          </w:p>
        </w:tc>
      </w:tr>
      <w:tr>
        <w:tc>
          <w:tcPr>
            <w:tcW w:type="dxa" w:w="3672"/>
            <w:vAlign w:val="center"/>
          </w:tcPr>
          <w:p>
            <w:pPr>
              <w:spacing w:after="0"/>
            </w:pPr>
            <w:r/>
            <w:r>
              <w:rPr>
                <w:rFonts w:ascii="Arial" w:hAnsi="Arial" w:eastAsia="Arial"/>
                <w:b w:val="0"/>
                <w:sz w:val="17"/>
              </w:rPr>
              <w:t>1. Scrum Master mở đầu bằng câu hỏi truy tìm người gây ra sáu khiếu nại bị phân loại sai.</w:t>
            </w:r>
          </w:p>
        </w:tc>
        <w:tc>
          <w:tcPr>
            <w:tcW w:type="dxa" w:w="6552"/>
            <w:vAlign w:val="center"/>
          </w:tcPr>
          <w:p>
            <w:pPr>
              <w:spacing w:after="0"/>
            </w:pPr>
            <w:r/>
            <w:r>
              <w:rPr>
                <w:rFonts w:ascii="Arial" w:hAnsi="Arial" w:eastAsia="Arial"/>
                <w:b w:val="0"/>
                <w:sz w:val="17"/>
              </w:rPr>
              <w:t>Cách hỏi mang tính đổ lỗi cá nhân, làm giảm an toàn tâm lý. Khi một thành viên bị nêu tên, các thành viên khác ngừng phát biểu; nhóm có nguy cơ bỏ sót nguyên nhân hệ thống như quy tắc thay đổi nhưng tài liệu chung không cập nhật. Nên hỏi: “Những điều kiện nào khiến sáu khiếu nại bị phân loại sai và nhóm có thể cải thiện quy trình nào?”.</w:t>
            </w:r>
          </w:p>
        </w:tc>
      </w:tr>
      <w:tr>
        <w:tc>
          <w:tcPr>
            <w:tcW w:type="dxa" w:w="3672"/>
            <w:vAlign w:val="center"/>
            <w:shd w:fill="F2F6FA"/>
          </w:tcPr>
          <w:p>
            <w:pPr>
              <w:spacing w:after="0"/>
            </w:pPr>
            <w:r/>
            <w:r>
              <w:rPr>
                <w:rFonts w:ascii="Arial" w:hAnsi="Arial" w:eastAsia="Arial"/>
                <w:b w:val="0"/>
                <w:sz w:val="17"/>
              </w:rPr>
              <w:t>2. Product Owner trả lời từng ý và tự chọn giải pháp.</w:t>
            </w:r>
          </w:p>
        </w:tc>
        <w:tc>
          <w:tcPr>
            <w:tcW w:type="dxa" w:w="6552"/>
            <w:vAlign w:val="center"/>
            <w:shd w:fill="F2F6FA"/>
          </w:tcPr>
          <w:p>
            <w:pPr>
              <w:spacing w:after="0"/>
            </w:pPr>
            <w:r/>
            <w:r>
              <w:rPr>
                <w:rFonts w:ascii="Arial" w:hAnsi="Arial" w:eastAsia="Arial"/>
                <w:b w:val="0"/>
                <w:sz w:val="17"/>
              </w:rPr>
              <w:t>PO có thể cung cấp bối cảnh và phản hồi về giá trị sản phẩm, nhưng không nên quyết định thay Scrum Team về các cải tiến trong cách làm việc. Việc này làm giảm quyền sở hữu chung và sự tham gia của Developers. Scrum Master cần tạo điều kiện để mọi người đóng góp, cùng phân tích nguyên nhân và thống nhất tối đa hai hành động khả thi.</w:t>
            </w:r>
          </w:p>
        </w:tc>
      </w:tr>
    </w:tbl>
    <w:p>
      <w:pPr>
        <w:spacing w:after="20"/>
      </w:pPr>
    </w:p>
    <w:p>
      <w:pPr>
        <w:pStyle w:val="Heading1"/>
      </w:pPr>
      <w:r>
        <w:t>KẾT LUẬN</w:t>
      </w:r>
    </w:p>
    <w:p>
      <w:r>
        <w:t>Biên bản sau chỉnh sửa tách rõ vấn đề quy trình khỏi yêu cầu sản phẩm, chuyển nội dung đổ lỗi thành mô tả hành vi trung lập và chọn hai Improvement có chủ sở hữu theo dõi, thời điểm kiểm tra và bằng chứng cụ thể. Nhóm giữ nguyên Definition of Done và xử lý IM-10-02 bằng phân tích nguyên nhân cùng biện pháp có thể đo lường.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RikkeiAssist | Sprint 11 Retrospective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