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ED1B24" w:val="clear"/>
        <w:spacing w:after="200" w:before="500"/>
        <w:jc w:val="center"/>
      </w:pPr>
      <w:r>
        <w:rPr>
          <w:rFonts w:ascii="Arial" w:cs="Arial" w:eastAsia="Arial" w:hAnsi="Arial"/>
          <w:b/>
          <w:bCs/>
          <w:i w:val="false"/>
          <w:iCs w:val="false"/>
          <w:color w:val="FFFFFF"/>
          <w:sz w:val="18"/>
          <w:szCs w:val="18"/>
        </w:rPr>
        <w:t xml:space="preserve">CLASSIFICATION: CLIENT</w:t>
      </w:r>
    </w:p>
    <w:p>
      <w:pPr>
        <w:spacing w:after="200" w:before="1200"/>
        <w:jc w:val="center"/>
      </w:pPr>
      <w:r>
        <w:rPr>
          <w:rFonts w:ascii="Arial" w:cs="Arial" w:eastAsia="Arial" w:hAnsi="Arial"/>
          <w:b/>
          <w:bCs/>
          <w:i w:val="false"/>
          <w:iCs w:val="false"/>
          <w:color w:val="ED1B24"/>
          <w:sz w:val="48"/>
          <w:szCs w:val="48"/>
        </w:rPr>
        <w:t xml:space="preserve">MEDICAL SURVEILLANCE PLAN</w:t>
      </w:r>
    </w:p>
    <w:p>
      <w:pPr>
        <w:spacing w:after="500"/>
        <w:jc w:val="center"/>
      </w:pPr>
      <w:r>
        <w:rPr>
          <w:rFonts w:ascii="Arial" w:cs="Arial" w:eastAsia="Arial" w:hAnsi="Arial"/>
          <w:b/>
          <w:bCs/>
          <w:i w:val="false"/>
          <w:iCs w:val="false"/>
          <w:color w:val="1A1A1A"/>
          <w:sz w:val="30"/>
          <w:szCs w:val="30"/>
        </w:rPr>
        <w:t xml:space="preserve">HORIZON CONSTRUCTION AND CIVILS (PTY) LTD</w:t>
      </w:r>
    </w:p>
    <w:p>
      <w:pPr>
        <w:spacing w:after="1200"/>
        <w:jc w:val="center"/>
      </w:pPr>
      <w:r>
        <w:rPr>
          <w:rFonts w:ascii="Arial" w:cs="Arial" w:eastAsia="Arial" w:hAnsi="Arial"/>
          <w:b w:val="false"/>
          <w:bCs w:val="false"/>
          <w:i w:val="false"/>
          <w:iCs w:val="false"/>
          <w:color w:val="1A1A1A"/>
          <w:sz w:val="18"/>
          <w:szCs w:val="18"/>
        </w:rPr>
        <w:t xml:space="preserve">Document Reference: CNC-MSP-2026-0812-001   |   Version 1.0   |   Date of Issue: 2026-08-12</w:t>
      </w:r>
    </w:p>
    <w:tbl>
      <w:tblPr>
        <w:tblW w:type="dxa" w:w="9072"/>
        <w:tblBorders>
          <w:top w:val="single" w:color="1A1A1A" w:sz="4"/>
          <w:left w:val="single" w:color="BBBBBB" w:sz="2"/>
          <w:bottom w:val="single" w:color="1A1A1A" w:sz="4"/>
          <w:right w:val="single" w:color="BBBBBB" w:sz="2"/>
          <w:insideH w:val="single" w:color="CCCCCC" w:sz="2"/>
          <w:insideV w:val="single" w:color="CCCCCC" w:sz="2"/>
        </w:tblBorders>
      </w:tblPr>
      <w:tblGrid>
        <w:gridCol w:w="3200"/>
        <w:gridCol w:w="5872"/>
      </w:tblGrid>
      <w:tr>
        <w:trPr>
          <w:tblHeader/>
        </w:trPr>
        <w:tc>
          <w:tcPr>
            <w:tcW w:type="dxa" w:w="3200"/>
            <w:shd w:fill="1A1A1A" w:val="clear"/>
            <w:tcMar>
              <w:top w:type="dxa" w:w="60"/>
              <w:left w:type="dxa" w:w="80"/>
              <w:bottom w:type="dxa" w:w="60"/>
              <w:right w:type="dxa" w:w="80"/>
            </w:tcMar>
            <w:vAlign w:val="top"/>
          </w:tcPr>
          <w:p>
            <w:r>
              <w:rPr>
                <w:rFonts w:ascii="Arial" w:cs="Arial" w:eastAsia="Arial" w:hAnsi="Arial"/>
                <w:b/>
                <w:bCs/>
                <w:i w:val="false"/>
                <w:iCs w:val="false"/>
                <w:color w:val="FFFFFF"/>
                <w:sz w:val="17"/>
                <w:szCs w:val="17"/>
              </w:rPr>
              <w:t xml:space="preserve"/>
            </w:r>
          </w:p>
        </w:tc>
        <w:tc>
          <w:tcPr>
            <w:tcW w:type="dxa" w:w="5872"/>
            <w:shd w:fill="1A1A1A" w:val="clear"/>
            <w:tcMar>
              <w:top w:type="dxa" w:w="60"/>
              <w:left w:type="dxa" w:w="80"/>
              <w:bottom w:type="dxa" w:w="60"/>
              <w:right w:type="dxa" w:w="80"/>
            </w:tcMar>
            <w:vAlign w:val="top"/>
          </w:tcPr>
          <w:p>
            <w:r>
              <w:rPr>
                <w:rFonts w:ascii="Arial" w:cs="Arial" w:eastAsia="Arial" w:hAnsi="Arial"/>
                <w:b/>
                <w:bCs/>
                <w:i w:val="false"/>
                <w:iCs w:val="false"/>
                <w:color w:val="FFFFFF"/>
                <w:sz w:val="17"/>
                <w:szCs w:val="17"/>
              </w:rPr>
              <w:t xml:space="preserve"/>
            </w:r>
          </w:p>
        </w:tc>
      </w:tr>
      <w:tr>
        <w:tc>
          <w:tcPr>
            <w:tcW w:type="dxa" w:w="3200"/>
            <w:shd w:fill="FFFFFF"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Client company name</w:t>
            </w:r>
          </w:p>
        </w:tc>
        <w:tc>
          <w:tcPr>
            <w:tcW w:type="dxa" w:w="5872"/>
            <w:shd w:fill="FFFFFF"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Horizon Construction and Civils (Pty) Ltd</w:t>
            </w:r>
          </w:p>
        </w:tc>
      </w:tr>
      <w:tr>
        <w:tc>
          <w:tcPr>
            <w:tcW w:type="dxa" w:w="3200"/>
            <w:shd w:fill="F2F2F2"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Core industry / sector</w:t>
            </w:r>
          </w:p>
        </w:tc>
        <w:tc>
          <w:tcPr>
            <w:tcW w:type="dxa" w:w="5872"/>
            <w:shd w:fill="F2F2F2"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Construction: Civil engineering works</w:t>
            </w:r>
          </w:p>
        </w:tc>
      </w:tr>
      <w:tr>
        <w:tc>
          <w:tcPr>
            <w:tcW w:type="dxa" w:w="3200"/>
            <w:shd w:fill="FFFFFF"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Registered address</w:t>
            </w:r>
          </w:p>
        </w:tc>
        <w:tc>
          <w:tcPr>
            <w:tcW w:type="dxa" w:w="5872"/>
            <w:shd w:fill="FFFFFF"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12 Contractor Way, Longmeadow Business Estate, Modderfontein, Gauteng, 1609</w:t>
            </w:r>
          </w:p>
        </w:tc>
      </w:tr>
      <w:tr>
        <w:tc>
          <w:tcPr>
            <w:tcW w:type="dxa" w:w="3200"/>
            <w:shd w:fill="F2F2F2"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Sites covered by this plan</w:t>
            </w:r>
          </w:p>
        </w:tc>
        <w:tc>
          <w:tcPr>
            <w:tcW w:type="dxa" w:w="5872"/>
            <w:shd w:fill="F2F2F2"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Head office and yard; Project site: N3 interchange upgrade</w:t>
            </w:r>
          </w:p>
        </w:tc>
      </w:tr>
      <w:tr>
        <w:tc>
          <w:tcPr>
            <w:tcW w:type="dxa" w:w="3200"/>
            <w:shd w:fill="FFFFFF"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Workforce covered</w:t>
            </w:r>
          </w:p>
        </w:tc>
        <w:tc>
          <w:tcPr>
            <w:tcW w:type="dxa" w:w="5872"/>
            <w:shd w:fill="FFFFFF"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Approximately 85 employees across 7 job categories</w:t>
            </w:r>
          </w:p>
        </w:tc>
      </w:tr>
      <w:tr>
        <w:tc>
          <w:tcPr>
            <w:tcW w:type="dxa" w:w="3200"/>
            <w:shd w:fill="F2F2F2"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Client contact person</w:t>
            </w:r>
          </w:p>
        </w:tc>
        <w:tc>
          <w:tcPr>
            <w:tcW w:type="dxa" w:w="5872"/>
            <w:shd w:fill="F2F2F2"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J. Naidoo</w:t>
            </w:r>
          </w:p>
        </w:tc>
      </w:tr>
      <w:tr>
        <w:tc>
          <w:tcPr>
            <w:tcW w:type="dxa" w:w="3200"/>
            <w:shd w:fill="FFFFFF"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Care Net service line</w:t>
            </w:r>
          </w:p>
        </w:tc>
        <w:tc>
          <w:tcPr>
            <w:tcW w:type="dxa" w:w="5872"/>
            <w:shd w:fill="FFFFFF"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Occupational Medical Surveillance Programme design and implementation</w:t>
            </w:r>
          </w:p>
        </w:tc>
      </w:tr>
      <w:tr>
        <w:tc>
          <w:tcPr>
            <w:tcW w:type="dxa" w:w="3200"/>
            <w:shd w:fill="F2F2F2"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Designated Occupational Medical Practitioner</w:t>
            </w:r>
          </w:p>
        </w:tc>
        <w:tc>
          <w:tcPr>
            <w:tcW w:type="dxa" w:w="5872"/>
            <w:shd w:fill="F2F2F2"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Dr C. P. Green-Thompson | HPCSA Reg No. MP 0195952 | SASOM Membership SAS1270 (approval pending, Section 11.1)</w:t>
            </w:r>
          </w:p>
        </w:tc>
      </w:tr>
    </w:tbl>
    <w:p>
      <w:pPr>
        <w:spacing w:before="700"/>
        <w:jc w:val="center"/>
      </w:pPr>
      <w:r>
        <w:rPr>
          <w:rFonts w:ascii="Arial" w:cs="Arial" w:eastAsia="Arial" w:hAnsi="Arial"/>
          <w:b w:val="false"/>
          <w:bCs w:val="false"/>
          <w:i/>
          <w:iCs/>
          <w:color w:val="1A1A1A"/>
          <w:sz w:val="18"/>
          <w:szCs w:val="18"/>
        </w:rPr>
        <w:t xml:space="preserve">Proudly prepared by the Care Net Consultants Team. Your Partner in Workplace Health.</w:t>
      </w:r>
    </w:p>
    <w:p>
      <w:r>
        <w:br w:type="page"/>
      </w:r>
    </w:p>
    <w:p>
      <w:pPr>
        <w:pStyle w:val="Heading1"/>
        <w:spacing w:after="160" w:before="320"/>
      </w:pPr>
      <w:r>
        <w:rPr>
          <w:rFonts w:ascii="Arial" w:cs="Arial" w:eastAsia="Arial" w:hAnsi="Arial"/>
          <w:b/>
          <w:bCs/>
          <w:color w:val="ED1B24"/>
          <w:sz w:val="28"/>
          <w:szCs w:val="28"/>
        </w:rPr>
        <w:t xml:space="preserve">DOCUMENT CONTROL</w:t>
      </w:r>
    </w:p>
    <w:tbl>
      <w:tblPr>
        <w:tblW w:type="dxa" w:w="9072"/>
        <w:tblBorders>
          <w:top w:val="single" w:color="1A1A1A" w:sz="4"/>
          <w:left w:val="single" w:color="BBBBBB" w:sz="2"/>
          <w:bottom w:val="single" w:color="1A1A1A" w:sz="4"/>
          <w:right w:val="single" w:color="BBBBBB" w:sz="2"/>
          <w:insideH w:val="single" w:color="CCCCCC" w:sz="2"/>
          <w:insideV w:val="single" w:color="CCCCCC" w:sz="2"/>
        </w:tblBorders>
      </w:tblPr>
      <w:tblGrid>
        <w:gridCol w:w="2600"/>
        <w:gridCol w:w="6472"/>
      </w:tblGrid>
      <w:tr>
        <w:trPr>
          <w:tblHeader/>
        </w:trPr>
        <w:tc>
          <w:tcPr>
            <w:tcW w:type="dxa" w:w="2600"/>
            <w:shd w:fill="1A1A1A" w:val="clear"/>
            <w:tcMar>
              <w:top w:type="dxa" w:w="60"/>
              <w:left w:type="dxa" w:w="80"/>
              <w:bottom w:type="dxa" w:w="60"/>
              <w:right w:type="dxa" w:w="80"/>
            </w:tcMar>
            <w:vAlign w:val="top"/>
          </w:tcPr>
          <w:p>
            <w:r>
              <w:rPr>
                <w:rFonts w:ascii="Arial" w:cs="Arial" w:eastAsia="Arial" w:hAnsi="Arial"/>
                <w:b/>
                <w:bCs/>
                <w:i w:val="false"/>
                <w:iCs w:val="false"/>
                <w:color w:val="FFFFFF"/>
                <w:sz w:val="17"/>
                <w:szCs w:val="17"/>
              </w:rPr>
              <w:t xml:space="preserve">Item</w:t>
            </w:r>
          </w:p>
        </w:tc>
        <w:tc>
          <w:tcPr>
            <w:tcW w:type="dxa" w:w="6472"/>
            <w:shd w:fill="1A1A1A" w:val="clear"/>
            <w:tcMar>
              <w:top w:type="dxa" w:w="60"/>
              <w:left w:type="dxa" w:w="80"/>
              <w:bottom w:type="dxa" w:w="60"/>
              <w:right w:type="dxa" w:w="80"/>
            </w:tcMar>
            <w:vAlign w:val="top"/>
          </w:tcPr>
          <w:p>
            <w:r>
              <w:rPr>
                <w:rFonts w:ascii="Arial" w:cs="Arial" w:eastAsia="Arial" w:hAnsi="Arial"/>
                <w:b/>
                <w:bCs/>
                <w:i w:val="false"/>
                <w:iCs w:val="false"/>
                <w:color w:val="FFFFFF"/>
                <w:sz w:val="17"/>
                <w:szCs w:val="17"/>
              </w:rPr>
              <w:t xml:space="preserve">Detail</w:t>
            </w:r>
          </w:p>
        </w:tc>
      </w:tr>
      <w:tr>
        <w:tc>
          <w:tcPr>
            <w:tcW w:type="dxa" w:w="2600"/>
            <w:shd w:fill="FFFFFF"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Document reference</w:t>
            </w:r>
          </w:p>
        </w:tc>
        <w:tc>
          <w:tcPr>
            <w:tcW w:type="dxa" w:w="6472"/>
            <w:shd w:fill="FFFFFF"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CNC-MSP-2026-0812-001</w:t>
            </w:r>
          </w:p>
        </w:tc>
      </w:tr>
      <w:tr>
        <w:tc>
          <w:tcPr>
            <w:tcW w:type="dxa" w:w="2600"/>
            <w:shd w:fill="F2F2F2"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Version</w:t>
            </w:r>
          </w:p>
        </w:tc>
        <w:tc>
          <w:tcPr>
            <w:tcW w:type="dxa" w:w="6472"/>
            <w:shd w:fill="F2F2F2"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1.0</w:t>
            </w:r>
          </w:p>
        </w:tc>
      </w:tr>
      <w:tr>
        <w:tc>
          <w:tcPr>
            <w:tcW w:type="dxa" w:w="2600"/>
            <w:shd w:fill="FFFFFF"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Date of issue</w:t>
            </w:r>
          </w:p>
        </w:tc>
        <w:tc>
          <w:tcPr>
            <w:tcW w:type="dxa" w:w="6472"/>
            <w:shd w:fill="FFFFFF"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2026-08-12</w:t>
            </w:r>
          </w:p>
        </w:tc>
      </w:tr>
      <w:tr>
        <w:tc>
          <w:tcPr>
            <w:tcW w:type="dxa" w:w="2600"/>
            <w:shd w:fill="F2F2F2"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Classification</w:t>
            </w:r>
          </w:p>
        </w:tc>
        <w:tc>
          <w:tcPr>
            <w:tcW w:type="dxa" w:w="6472"/>
            <w:shd w:fill="F2F2F2"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CLIENT</w:t>
            </w:r>
          </w:p>
        </w:tc>
      </w:tr>
      <w:tr>
        <w:tc>
          <w:tcPr>
            <w:tcW w:type="dxa" w:w="2600"/>
            <w:shd w:fill="FFFFFF"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Prepared by</w:t>
            </w:r>
          </w:p>
        </w:tc>
        <w:tc>
          <w:tcPr>
            <w:tcW w:type="dxa" w:w="6472"/>
            <w:shd w:fill="FFFFFF"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Care Net Consultants (Pty) Ltd, CNC MSP FORGE Document Factory</w:t>
            </w:r>
          </w:p>
        </w:tc>
      </w:tr>
      <w:tr>
        <w:tc>
          <w:tcPr>
            <w:tcW w:type="dxa" w:w="2600"/>
            <w:shd w:fill="F2F2F2"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Author governance</w:t>
            </w:r>
          </w:p>
        </w:tc>
        <w:tc>
          <w:tcPr>
            <w:tcW w:type="dxa" w:w="6472"/>
            <w:shd w:fill="F2F2F2"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Prepared under the direction of the Director: BCom, Postgraduate qualification in Taxation, MBA, Professional Masters in Artificial Intelligence, Candidate Doctorate in Artificial Intelligence</w:t>
            </w:r>
          </w:p>
        </w:tc>
      </w:tr>
      <w:tr>
        <w:tc>
          <w:tcPr>
            <w:tcW w:type="dxa" w:w="2600"/>
            <w:shd w:fill="FFFFFF"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OMP approval record</w:t>
            </w:r>
          </w:p>
        </w:tc>
        <w:tc>
          <w:tcPr>
            <w:tcW w:type="dxa" w:w="6472"/>
            <w:shd w:fill="FFFFFF"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Dr C. P. Green-Thompson | HPCSA Reg No. MP 0195952 | SASOM Membership SAS1270 (approval pending, Section 11.1)</w:t>
            </w:r>
          </w:p>
        </w:tc>
      </w:tr>
      <w:tr>
        <w:tc>
          <w:tcPr>
            <w:tcW w:type="dxa" w:w="2600"/>
            <w:shd w:fill="F2F2F2"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Compensation route</w:t>
            </w:r>
          </w:p>
        </w:tc>
        <w:tc>
          <w:tcPr>
            <w:tcW w:type="dxa" w:w="6472"/>
            <w:shd w:fill="F2F2F2"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COIDA</w:t>
            </w:r>
          </w:p>
        </w:tc>
      </w:tr>
      <w:tr>
        <w:tc>
          <w:tcPr>
            <w:tcW w:type="dxa" w:w="2600"/>
            <w:shd w:fill="FFFFFF"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Next review</w:t>
            </w:r>
          </w:p>
        </w:tc>
        <w:tc>
          <w:tcPr>
            <w:tcW w:type="dxa" w:w="6472"/>
            <w:shd w:fill="FFFFFF"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Twelve months from date of issue, and immediately on the triggers in Section 10. Scheduled trigger: noise instrument transition, 6 September 2026</w:t>
            </w:r>
          </w:p>
        </w:tc>
      </w:tr>
    </w:tbl>
    <w:p>
      <w:r>
        <w:br w:type="page"/>
      </w:r>
    </w:p>
    <w:p>
      <w:pPr>
        <w:pStyle w:val="Heading1"/>
        <w:spacing w:after="160" w:before="320"/>
      </w:pPr>
      <w:r>
        <w:rPr>
          <w:rFonts w:ascii="Arial" w:cs="Arial" w:eastAsia="Arial" w:hAnsi="Arial"/>
          <w:b/>
          <w:bCs/>
          <w:color w:val="ED1B24"/>
          <w:sz w:val="28"/>
          <w:szCs w:val="28"/>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320"/>
      </w:pPr>
      <w:r>
        <w:rPr>
          <w:rFonts w:ascii="Arial" w:cs="Arial" w:eastAsia="Arial" w:hAnsi="Arial"/>
          <w:b/>
          <w:bCs/>
          <w:color w:val="ED1B24"/>
          <w:sz w:val="28"/>
          <w:szCs w:val="28"/>
        </w:rPr>
        <w:t xml:space="preserve">EXECUTIVE SUMMARY</w:t>
      </w:r>
    </w:p>
    <w:p>
      <w:pPr>
        <w:spacing w:after="120" w:line="300" w:lineRule="auto"/>
      </w:pPr>
      <w:r>
        <w:rPr>
          <w:rFonts w:ascii="Arial" w:cs="Arial" w:eastAsia="Arial" w:hAnsi="Arial"/>
          <w:b w:val="false"/>
          <w:bCs w:val="false"/>
          <w:i w:val="false"/>
          <w:iCs w:val="false"/>
          <w:color w:val="1A1A1A"/>
          <w:sz w:val="19"/>
          <w:szCs w:val="19"/>
        </w:rPr>
        <w:t xml:space="preserve">Three measured exposures at Horizon Construction and Civils (Pty) Ltd stand at or above their occupational exposure limits: noise in the plant and compaction area at 92 dB(A) against the 85 dB(A) rating limit, respirable crystalline silica at 0.15 mg/m3 against the 0.1 mg/m3 limit, and welding fume reported well above its stated limit. These exceedances drive this Plan's central prescription: annual surveillance as a strict minimum for every affected category, tighter where the Designated OMP directs, and a clear message that surveillance detects early effect but does not substitute for controlling exposure at source.</w:t>
      </w:r>
    </w:p>
    <w:p>
      <w:pPr>
        <w:spacing w:after="120" w:line="300" w:lineRule="auto"/>
      </w:pPr>
      <w:r>
        <w:rPr>
          <w:rFonts w:ascii="Arial" w:cs="Arial" w:eastAsia="Arial" w:hAnsi="Arial"/>
          <w:b w:val="false"/>
          <w:bCs w:val="false"/>
          <w:i w:val="false"/>
          <w:iCs w:val="false"/>
          <w:color w:val="1A1A1A"/>
          <w:sz w:val="19"/>
          <w:szCs w:val="19"/>
        </w:rPr>
        <w:t xml:space="preserve">The Plan covers approximately 85 employees across 7 job categories across the sites listed in Section 2. The Occupational Risk Exposure Profile identifies 7 hazard exposures carrying critical residual risk after reported controls, concentrated in: General Labourer, Scaffolder / Heights Worker, Plant Operator, Welder / Steel Fabricator, Concrete and Cement Worker. Respiratory protective equipment is issued but not yet confirmed fit tested for two dust exposed categories, so RPE is not relied upon as a full control and fit testing is recommended as a priority.</w:t>
      </w:r>
    </w:p>
    <w:p>
      <w:pPr>
        <w:spacing w:after="120" w:line="300" w:lineRule="auto"/>
      </w:pPr>
      <w:r>
        <w:rPr>
          <w:rFonts w:ascii="Arial" w:cs="Arial" w:eastAsia="Arial" w:hAnsi="Arial"/>
          <w:b w:val="false"/>
          <w:bCs w:val="false"/>
          <w:i w:val="false"/>
          <w:iCs w:val="false"/>
          <w:color w:val="1A1A1A"/>
          <w:sz w:val="19"/>
          <w:szCs w:val="19"/>
        </w:rPr>
        <w:t xml:space="preserve">Every test prescribed in the Worker Allocated Surveillance Programme is justified twice: against the exposure it monitors and against the inherent requirements of the job under section 7 of the Employment Equity Act. Five matters are reserved to the Designated OMP, including biological monitoring reference values and the enhanced screening approach for the two job categories flagged, at aggregate level only, for chronic conditions with sudden incapacity potential. This Plan is a draft until the Designated OMP's approval is recorded in Section 11.</w:t>
      </w:r>
    </w:p>
    <w:p>
      <w:r>
        <w:br w:type="page"/>
      </w:r>
    </w:p>
    <w:p>
      <w:pPr>
        <w:pStyle w:val="Heading1"/>
        <w:spacing w:after="160" w:before="320"/>
      </w:pPr>
      <w:r>
        <w:rPr>
          <w:rFonts w:ascii="Arial" w:cs="Arial" w:eastAsia="Arial" w:hAnsi="Arial"/>
          <w:b/>
          <w:bCs/>
          <w:color w:val="ED1B24"/>
          <w:sz w:val="28"/>
          <w:szCs w:val="28"/>
        </w:rPr>
        <w:t xml:space="preserve">1. INTRODUCTION AND PURPOSE OF THIS PLAN</w:t>
      </w:r>
    </w:p>
    <w:p>
      <w:pPr>
        <w:spacing w:after="120" w:line="300" w:lineRule="auto"/>
      </w:pPr>
      <w:r>
        <w:rPr>
          <w:rFonts w:ascii="Arial" w:cs="Arial" w:eastAsia="Arial" w:hAnsi="Arial"/>
          <w:b w:val="false"/>
          <w:bCs w:val="false"/>
          <w:i w:val="false"/>
          <w:iCs w:val="false"/>
          <w:color w:val="1A1A1A"/>
          <w:sz w:val="19"/>
          <w:szCs w:val="19"/>
        </w:rPr>
        <w:t xml:space="preserve">This Medical Surveillance Plan has been prepared by Care Net Consultants (Pty) Ltd for Horizon Construction and Civils (Pty) Ltd. The Plan sets out the occupational risk exposures associated with the Client's business and workforce, the job categories affected, the medical assessments Care Net will perform in respect of each exposure, and the interval at which each assessment will be repeated. It is reviewed annually, or sooner on any material change to operations, plant, materials, workforce composition, legislation, or guidance.</w:t>
      </w:r>
    </w:p>
    <w:p>
      <w:pPr>
        <w:pStyle w:val="Heading1"/>
        <w:spacing w:after="160" w:before="320"/>
      </w:pPr>
      <w:r>
        <w:rPr>
          <w:rFonts w:ascii="Arial" w:cs="Arial" w:eastAsia="Arial" w:hAnsi="Arial"/>
          <w:b/>
          <w:bCs/>
          <w:color w:val="ED1B24"/>
          <w:sz w:val="28"/>
          <w:szCs w:val="28"/>
        </w:rPr>
        <w:t xml:space="preserve">2. BUSINESS OVERVIEW</w:t>
      </w:r>
    </w:p>
    <w:p>
      <w:pPr>
        <w:spacing w:after="120" w:line="300" w:lineRule="auto"/>
      </w:pPr>
      <w:r>
        <w:rPr>
          <w:rFonts w:ascii="Arial" w:cs="Arial" w:eastAsia="Arial" w:hAnsi="Arial"/>
          <w:b w:val="false"/>
          <w:bCs w:val="false"/>
          <w:i w:val="false"/>
          <w:iCs w:val="false"/>
          <w:color w:val="1A1A1A"/>
          <w:sz w:val="19"/>
          <w:szCs w:val="19"/>
        </w:rPr>
        <w:t xml:space="preserve">Horizon Construction and Civils (Pty) Ltd operates in Civil engineering works, with approximately 85 employees across 7 job categories, at the following sites: Head office and yard; Project site: N3 interchange upgrade. Building and civil construction contracting.</w:t>
      </w:r>
    </w:p>
    <w:p>
      <w:pPr>
        <w:pStyle w:val="Heading2"/>
        <w:spacing w:after="120" w:before="240"/>
      </w:pPr>
      <w:r>
        <w:rPr>
          <w:rFonts w:ascii="Arial" w:cs="Arial" w:eastAsia="Arial" w:hAnsi="Arial"/>
          <w:b/>
          <w:bCs/>
          <w:color w:val="1A1A1A"/>
          <w:sz w:val="23"/>
          <w:szCs w:val="23"/>
        </w:rPr>
        <w:t xml:space="preserve">2.1 Context drawn from the Client's completed onboarding form</w:t>
      </w:r>
    </w:p>
    <w:p>
      <w:pPr>
        <w:pStyle w:val="ListParagraph"/>
        <w:numPr>
          <w:ilvl w:val="0"/>
          <w:numId w:val="2"/>
        </w:numPr>
        <w:spacing w:after="80"/>
      </w:pPr>
      <w:r>
        <w:rPr>
          <w:rFonts w:ascii="Arial" w:cs="Arial" w:eastAsia="Arial" w:hAnsi="Arial"/>
          <w:b w:val="false"/>
          <w:bCs w:val="false"/>
          <w:i w:val="false"/>
          <w:iCs w:val="false"/>
          <w:color w:val="1A1A1A"/>
          <w:sz w:val="19"/>
          <w:szCs w:val="19"/>
        </w:rPr>
        <w:t xml:space="preserve">No employees currently work night shifts or rotating shifts that trigger the Code of Good Practice: Arrangement of Working Time medical requirement. This is revisited if night work is introduced.</w:t>
      </w:r>
    </w:p>
    <w:p>
      <w:pPr>
        <w:pStyle w:val="ListParagraph"/>
        <w:numPr>
          <w:ilvl w:val="0"/>
          <w:numId w:val="2"/>
        </w:numPr>
        <w:spacing w:after="80"/>
      </w:pPr>
      <w:r>
        <w:rPr>
          <w:rFonts w:ascii="Arial" w:cs="Arial" w:eastAsia="Arial" w:hAnsi="Arial"/>
          <w:b w:val="false"/>
          <w:bCs w:val="false"/>
          <w:i w:val="false"/>
          <w:iCs w:val="false"/>
          <w:color w:val="1A1A1A"/>
          <w:sz w:val="19"/>
          <w:szCs w:val="19"/>
        </w:rPr>
        <w:t xml:space="preserve">At an aggregate, job category level, the Client flagged the following categories as possibly including employees with chronic conditions that could cause sudden incapacity: Plant Operator; Driver / Plant and Materials Transport. No individual has been identified to Care Net. The Designated OMP will apply enhanced screening where clinically indicated on an individual basis.</w:t>
      </w:r>
    </w:p>
    <w:p>
      <w:pPr>
        <w:pStyle w:val="ListParagraph"/>
        <w:numPr>
          <w:ilvl w:val="0"/>
          <w:numId w:val="2"/>
        </w:numPr>
        <w:spacing w:after="80"/>
      </w:pPr>
      <w:r>
        <w:rPr>
          <w:rFonts w:ascii="Arial" w:cs="Arial" w:eastAsia="Arial" w:hAnsi="Arial"/>
          <w:b w:val="false"/>
          <w:bCs w:val="false"/>
          <w:i w:val="false"/>
          <w:iCs w:val="false"/>
          <w:color w:val="1A1A1A"/>
          <w:sz w:val="19"/>
          <w:szCs w:val="19"/>
        </w:rPr>
        <w:t xml:space="preserve">Third party certificate requirement recorded: Principal contractor requires heights fitness certificates valid no longer than 12 months. Incorporated into the applicable category intervals, which are only ever tightened by such requirements.</w:t>
      </w:r>
    </w:p>
    <w:p>
      <w:pPr>
        <w:pStyle w:val="ListParagraph"/>
        <w:numPr>
          <w:ilvl w:val="0"/>
          <w:numId w:val="2"/>
        </w:numPr>
        <w:spacing w:after="80"/>
      </w:pPr>
      <w:r>
        <w:rPr>
          <w:rFonts w:ascii="Arial" w:cs="Arial" w:eastAsia="Arial" w:hAnsi="Arial"/>
          <w:b w:val="false"/>
          <w:bCs w:val="false"/>
          <w:i w:val="false"/>
          <w:iCs w:val="false"/>
          <w:color w:val="1A1A1A"/>
          <w:sz w:val="19"/>
          <w:szCs w:val="19"/>
        </w:rPr>
        <w:t xml:space="preserve">POPIA: the Client has confirmed employees will be informed of the programme and their rights before first examination, and has elected to use Care Net's standard POPIA notice and consent forms.</w:t>
      </w:r>
    </w:p>
    <w:p>
      <w:pPr>
        <w:pStyle w:val="Heading1"/>
        <w:spacing w:after="160" w:before="320"/>
      </w:pPr>
      <w:r>
        <w:rPr>
          <w:rFonts w:ascii="Arial" w:cs="Arial" w:eastAsia="Arial" w:hAnsi="Arial"/>
          <w:b/>
          <w:bCs/>
          <w:color w:val="ED1B24"/>
          <w:sz w:val="28"/>
          <w:szCs w:val="28"/>
        </w:rPr>
        <w:t xml:space="preserve">3. REGULATORY FRAMEWORK APPLICABLE TO THIS INDUSTRY</w:t>
      </w:r>
    </w:p>
    <w:p>
      <w:pPr>
        <w:spacing w:after="120" w:line="300" w:lineRule="auto"/>
      </w:pPr>
      <w:r>
        <w:rPr>
          <w:rFonts w:ascii="Arial" w:cs="Arial" w:eastAsia="Arial" w:hAnsi="Arial"/>
          <w:b w:val="false"/>
          <w:bCs w:val="false"/>
          <w:i w:val="false"/>
          <w:iCs w:val="false"/>
          <w:color w:val="1A1A1A"/>
          <w:sz w:val="19"/>
          <w:szCs w:val="19"/>
        </w:rPr>
        <w:t xml:space="preserve">The medical surveillance activities in this Plan support the Client's compliance with the following instruments applicable to Civil engineering works. The list reflects the regulatory framework relevant to the exposures identified for this Client and is not an exhaustive statement of all legal obligations. Compensation route: COIDA.</w:t>
      </w:r>
    </w:p>
    <w:tbl>
      <w:tblPr>
        <w:tblW w:type="dxa" w:w="9072"/>
        <w:tblBorders>
          <w:top w:val="single" w:color="1A1A1A" w:sz="4"/>
          <w:left w:val="single" w:color="BBBBBB" w:sz="2"/>
          <w:bottom w:val="single" w:color="1A1A1A" w:sz="4"/>
          <w:right w:val="single" w:color="BBBBBB" w:sz="2"/>
          <w:insideH w:val="single" w:color="CCCCCC" w:sz="2"/>
          <w:insideV w:val="single" w:color="CCCCCC" w:sz="2"/>
        </w:tblBorders>
      </w:tblPr>
      <w:tblGrid>
        <w:gridCol w:w="4600"/>
        <w:gridCol w:w="4472"/>
      </w:tblGrid>
      <w:tr>
        <w:trPr>
          <w:tblHeader/>
        </w:trPr>
        <w:tc>
          <w:tcPr>
            <w:tcW w:type="dxa" w:w="4600"/>
            <w:shd w:fill="1A1A1A" w:val="clear"/>
            <w:tcMar>
              <w:top w:type="dxa" w:w="60"/>
              <w:left w:type="dxa" w:w="80"/>
              <w:bottom w:type="dxa" w:w="60"/>
              <w:right w:type="dxa" w:w="80"/>
            </w:tcMar>
            <w:vAlign w:val="top"/>
          </w:tcPr>
          <w:p>
            <w:r>
              <w:rPr>
                <w:rFonts w:ascii="Arial" w:cs="Arial" w:eastAsia="Arial" w:hAnsi="Arial"/>
                <w:b/>
                <w:bCs/>
                <w:i w:val="false"/>
                <w:iCs w:val="false"/>
                <w:color w:val="FFFFFF"/>
                <w:sz w:val="17"/>
                <w:szCs w:val="17"/>
              </w:rPr>
              <w:t xml:space="preserve">Instrument</w:t>
            </w:r>
          </w:p>
        </w:tc>
        <w:tc>
          <w:tcPr>
            <w:tcW w:type="dxa" w:w="4472"/>
            <w:shd w:fill="1A1A1A" w:val="clear"/>
            <w:tcMar>
              <w:top w:type="dxa" w:w="60"/>
              <w:left w:type="dxa" w:w="80"/>
              <w:bottom w:type="dxa" w:w="60"/>
              <w:right w:type="dxa" w:w="80"/>
            </w:tcMar>
            <w:vAlign w:val="top"/>
          </w:tcPr>
          <w:p>
            <w:r>
              <w:rPr>
                <w:rFonts w:ascii="Arial" w:cs="Arial" w:eastAsia="Arial" w:hAnsi="Arial"/>
                <w:b/>
                <w:bCs/>
                <w:i w:val="false"/>
                <w:iCs w:val="false"/>
                <w:color w:val="FFFFFF"/>
                <w:sz w:val="17"/>
                <w:szCs w:val="17"/>
              </w:rPr>
              <w:t xml:space="preserve">Applicability to this engagement</w:t>
            </w:r>
          </w:p>
        </w:tc>
      </w:tr>
      <w:tr>
        <w:tc>
          <w:tcPr>
            <w:tcW w:type="dxa" w:w="4600"/>
            <w:shd w:fill="FFFFFF"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Occupational Health and Safety Act 85 of 1993</w:t>
            </w:r>
          </w:p>
        </w:tc>
        <w:tc>
          <w:tcPr>
            <w:tcW w:type="dxa" w:w="4472"/>
            <w:shd w:fill="FFFFFF"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Framework Act for all construction workplaces</w:t>
            </w:r>
          </w:p>
        </w:tc>
      </w:tr>
      <w:tr>
        <w:tc>
          <w:tcPr>
            <w:tcW w:type="dxa" w:w="4600"/>
            <w:shd w:fill="F2F2F2"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Construction Regulations, 2014, GN R.84, Government Gazette 37305, 7 February 2014, made under the Occupational Health and Safety Act 85 of 1993</w:t>
            </w:r>
          </w:p>
        </w:tc>
        <w:tc>
          <w:tcPr>
            <w:tcW w:type="dxa" w:w="4472"/>
            <w:shd w:fill="F2F2F2"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Core sector regulation: heights, excavations, scaffolding, Annexure 3 medical certificate of fitness</w:t>
            </w:r>
          </w:p>
        </w:tc>
      </w:tr>
      <w:tr>
        <w:tc>
          <w:tcPr>
            <w:tcW w:type="dxa" w:w="4600"/>
            <w:shd w:fill="FFFFFF"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Noise-Induced Hearing Loss Regulations, 2003, GN R.307 of 7 March 2003, made under the Occupational Health and Safety Act 85 of 1993</w:t>
            </w:r>
          </w:p>
        </w:tc>
        <w:tc>
          <w:tcPr>
            <w:tcW w:type="dxa" w:w="4472"/>
            <w:shd w:fill="FFFFFF"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Operative noise instrument to 05/09/2026. Operative at the date of this Plan; repealed with effect from 06/09/2026 by the Noise Exposure Regulations, 2024, regulation 18. This Plan will be read against the 2024 Regulations from that date.</w:t>
            </w:r>
          </w:p>
        </w:tc>
      </w:tr>
      <w:tr>
        <w:tc>
          <w:tcPr>
            <w:tcW w:type="dxa" w:w="4600"/>
            <w:shd w:fill="F2F2F2"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Noise Exposure Regulations, 2024, GN 5953, Government Gazette 52226, 6 March 2025, made under the Occupational Health and Safety Act 85 of 1993</w:t>
            </w:r>
          </w:p>
        </w:tc>
        <w:tc>
          <w:tcPr>
            <w:tcW w:type="dxa" w:w="4472"/>
            <w:shd w:fill="F2F2F2"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Successor noise instrument, sole operative instrument from 06/09/2026</w:t>
            </w:r>
          </w:p>
        </w:tc>
      </w:tr>
      <w:tr>
        <w:tc>
          <w:tcPr>
            <w:tcW w:type="dxa" w:w="4600"/>
            <w:shd w:fill="FFFFFF"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Regulations for Hazardous Chemical Agents, 2021, GN R.280, Government Gazette 44348 (Regulation Gazette 11263), 29 March 2021, made under the Occupational Health and Safety Act 85 of 1993</w:t>
            </w:r>
          </w:p>
        </w:tc>
        <w:tc>
          <w:tcPr>
            <w:tcW w:type="dxa" w:w="4472"/>
            <w:shd w:fill="FFFFFF"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Silica, cement, welding fume, diesel exhaust, solvents, and the chemical register</w:t>
            </w:r>
          </w:p>
        </w:tc>
      </w:tr>
      <w:tr>
        <w:tc>
          <w:tcPr>
            <w:tcW w:type="dxa" w:w="4600"/>
            <w:shd w:fill="F2F2F2"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Ergonomics Regulations, 2019, GN R.1589, Government Gazette 42894, 6 December 2019, made under the Occupational Health and Safety Act 85 of 1993</w:t>
            </w:r>
          </w:p>
        </w:tc>
        <w:tc>
          <w:tcPr>
            <w:tcW w:type="dxa" w:w="4472"/>
            <w:shd w:fill="F2F2F2"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Manual handling, vibration effect, and postural risk surveillance</w:t>
            </w:r>
          </w:p>
        </w:tc>
      </w:tr>
      <w:tr>
        <w:tc>
          <w:tcPr>
            <w:tcW w:type="dxa" w:w="4600"/>
            <w:shd w:fill="FFFFFF"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Compensation for Occupational Injuries and Diseases Act 130 of 1993, as amended by the Compensation for Occupational Injuries and Diseases Amendment Act 10 of 2022</w:t>
            </w:r>
          </w:p>
        </w:tc>
        <w:tc>
          <w:tcPr>
            <w:tcW w:type="dxa" w:w="4472"/>
            <w:shd w:fill="FFFFFF"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Compensation route for all construction occupational injuries and diseases</w:t>
            </w:r>
          </w:p>
        </w:tc>
      </w:tr>
      <w:tr>
        <w:tc>
          <w:tcPr>
            <w:tcW w:type="dxa" w:w="4600"/>
            <w:shd w:fill="F2F2F2"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Employment Equity Act 55 of 1998, section 7 (medical testing)</w:t>
            </w:r>
          </w:p>
        </w:tc>
        <w:tc>
          <w:tcPr>
            <w:tcW w:type="dxa" w:w="4472"/>
            <w:shd w:fill="F2F2F2"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Lawful basis for every medical test, justified against the inherent requirements of each job</w:t>
            </w:r>
          </w:p>
        </w:tc>
      </w:tr>
      <w:tr>
        <w:tc>
          <w:tcPr>
            <w:tcW w:type="dxa" w:w="4600"/>
            <w:shd w:fill="FFFFFF"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Basic Conditions of Employment Act 75 of 1997, section 17(3), read with the Code of Good Practice on the Arrangement of Working Time</w:t>
            </w:r>
          </w:p>
        </w:tc>
        <w:tc>
          <w:tcPr>
            <w:tcW w:type="dxa" w:w="4472"/>
            <w:shd w:fill="FFFFFF"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Applies where the intake reports regular night work</w:t>
            </w:r>
          </w:p>
        </w:tc>
      </w:tr>
      <w:tr>
        <w:tc>
          <w:tcPr>
            <w:tcW w:type="dxa" w:w="4600"/>
            <w:shd w:fill="F2F2F2"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National Road Traffic Act 93 of 1996, read with the National Road Traffic Regulations, Professional Driving Permit medical fitness provisions</w:t>
            </w:r>
          </w:p>
        </w:tc>
        <w:tc>
          <w:tcPr>
            <w:tcW w:type="dxa" w:w="4472"/>
            <w:shd w:fill="F2F2F2"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Applies to professional driving categories</w:t>
            </w:r>
          </w:p>
        </w:tc>
      </w:tr>
      <w:tr>
        <w:tc>
          <w:tcPr>
            <w:tcW w:type="dxa" w:w="4600"/>
            <w:shd w:fill="FFFFFF"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HPCSA General Ethical Guidelines for the Health Care Professions, Booklet 1, December 2021 revision</w:t>
            </w:r>
          </w:p>
        </w:tc>
        <w:tc>
          <w:tcPr>
            <w:tcW w:type="dxa" w:w="4472"/>
            <w:shd w:fill="FFFFFF"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Ethical baseline for all examinations under the programme</w:t>
            </w:r>
          </w:p>
        </w:tc>
      </w:tr>
      <w:tr>
        <w:tc>
          <w:tcPr>
            <w:tcW w:type="dxa" w:w="4600"/>
            <w:shd w:fill="F2F2F2"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HPCSA General Ethical Guidelines for Good Practice in Telehealth, Booklet 10, revised December 2021</w:t>
            </w:r>
          </w:p>
        </w:tc>
        <w:tc>
          <w:tcPr>
            <w:tcW w:type="dxa" w:w="4472"/>
            <w:shd w:fill="F2F2F2"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Governs any telehealth component of the programme</w:t>
            </w:r>
          </w:p>
        </w:tc>
      </w:tr>
      <w:tr>
        <w:tc>
          <w:tcPr>
            <w:tcW w:type="dxa" w:w="4600"/>
            <w:shd w:fill="FFFFFF"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HPCSA Guidelines on Over Servicing, Perverse Incentives and Related Matters, Booklet 11</w:t>
            </w:r>
          </w:p>
        </w:tc>
        <w:tc>
          <w:tcPr>
            <w:tcW w:type="dxa" w:w="4472"/>
            <w:shd w:fill="FFFFFF"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Perverse incentive prohibition; the employer is the payer</w:t>
            </w:r>
          </w:p>
        </w:tc>
      </w:tr>
    </w:tbl>
    <w:p>
      <w:pPr>
        <w:spacing w:after="100" w:line="300" w:lineRule="auto"/>
      </w:pPr>
      <w:r>
        <w:rPr>
          <w:rFonts w:ascii="Arial" w:cs="Arial" w:eastAsia="Arial" w:hAnsi="Arial"/>
          <w:b w:val="false"/>
          <w:bCs w:val="false"/>
          <w:i w:val="false"/>
          <w:iCs w:val="false"/>
          <w:color w:val="1A1A1A"/>
          <w:sz w:val="20"/>
          <w:szCs w:val="20"/>
        </w:rPr>
        <w:t xml:space="preserve"/>
      </w:r>
    </w:p>
    <w:p>
      <w:pPr>
        <w:pStyle w:val="Heading1"/>
        <w:spacing w:after="160" w:before="320"/>
      </w:pPr>
      <w:r>
        <w:rPr>
          <w:rFonts w:ascii="Arial" w:cs="Arial" w:eastAsia="Arial" w:hAnsi="Arial"/>
          <w:b/>
          <w:bCs/>
          <w:color w:val="ED1B24"/>
          <w:sz w:val="28"/>
          <w:szCs w:val="28"/>
        </w:rPr>
        <w:t xml:space="preserve">4. BASIS OF THIS PLAN AND SOURCE OF RISK INFORMATION</w:t>
      </w:r>
    </w:p>
    <w:p>
      <w:pPr>
        <w:pStyle w:val="Heading3"/>
        <w:spacing w:after="100" w:before="180"/>
      </w:pPr>
      <w:r>
        <w:rPr>
          <w:rFonts w:ascii="Arial" w:cs="Arial" w:eastAsia="Arial" w:hAnsi="Arial"/>
          <w:b/>
          <w:bCs/>
          <w:color w:val="ED1B24"/>
          <w:sz w:val="21"/>
          <w:szCs w:val="21"/>
        </w:rPr>
        <w:t xml:space="preserve">Compliance note: limitation of Care Net's role and liability</w:t>
      </w:r>
    </w:p>
    <w:p>
      <w:pPr>
        <w:spacing w:after="120" w:line="300" w:lineRule="auto"/>
      </w:pPr>
      <w:r>
        <w:rPr>
          <w:rFonts w:ascii="Arial" w:cs="Arial" w:eastAsia="Arial" w:hAnsi="Arial"/>
          <w:b w:val="false"/>
          <w:bCs w:val="false"/>
          <w:i w:val="false"/>
          <w:iCs w:val="false"/>
          <w:color w:val="1A1A1A"/>
          <w:sz w:val="19"/>
          <w:szCs w:val="19"/>
        </w:rPr>
        <w:t xml:space="preserve">Care Net Consultants (Pty) Ltd did not conduct the underlying workplace risk assessment or occupational hygiene survey referred to in this Plan. That risk assessment was conducted by, or on behalf of, the Client, and was supplied to Care Net for the sole purpose of designing this medical surveillance programme.</w:t>
      </w:r>
    </w:p>
    <w:p>
      <w:pPr>
        <w:spacing w:after="120" w:line="300" w:lineRule="auto"/>
      </w:pPr>
      <w:r>
        <w:rPr>
          <w:rFonts w:ascii="Arial" w:cs="Arial" w:eastAsia="Arial" w:hAnsi="Arial"/>
          <w:b w:val="false"/>
          <w:bCs w:val="false"/>
          <w:i w:val="false"/>
          <w:iCs w:val="false"/>
          <w:color w:val="1A1A1A"/>
          <w:sz w:val="19"/>
          <w:szCs w:val="19"/>
        </w:rPr>
        <w:t xml:space="preserve">Care Net's role is limited to the design and implementation of the medical surveillance programme (the OREP and WASP) based on the exposure information provided by the Client. Care Net has not independently verified the accuracy, completeness, or currency of that risk assessment data.</w:t>
      </w:r>
    </w:p>
    <w:p>
      <w:pPr>
        <w:spacing w:after="120" w:line="300" w:lineRule="auto"/>
      </w:pPr>
      <w:r>
        <w:rPr>
          <w:rFonts w:ascii="Arial" w:cs="Arial" w:eastAsia="Arial" w:hAnsi="Arial"/>
          <w:b w:val="false"/>
          <w:bCs w:val="false"/>
          <w:i w:val="false"/>
          <w:iCs w:val="false"/>
          <w:color w:val="1A1A1A"/>
          <w:sz w:val="19"/>
          <w:szCs w:val="19"/>
        </w:rPr>
        <w:t xml:space="preserve">Accordingly, Care Net accepts no responsibility or liability for the accuracy, completeness, or currency of the risk assessment information supplied by the Client, or for any hazard, exposure, or job category that was not disclosed to Care Net at the time this Plan was prepared.</w:t>
      </w:r>
    </w:p>
    <w:p>
      <w:pPr>
        <w:spacing w:after="120" w:line="300" w:lineRule="auto"/>
      </w:pPr>
      <w:r>
        <w:rPr>
          <w:rFonts w:ascii="Arial" w:cs="Arial" w:eastAsia="Arial" w:hAnsi="Arial"/>
          <w:b w:val="false"/>
          <w:bCs w:val="false"/>
          <w:i w:val="false"/>
          <w:iCs w:val="false"/>
          <w:color w:val="1A1A1A"/>
          <w:sz w:val="19"/>
          <w:szCs w:val="19"/>
        </w:rPr>
        <w:t xml:space="preserve">The Client remains responsible for ensuring that its workplace risk assessment is conducted and kept up to date by a competent person or approved inspection authority, and for promptly informing Care Net of any change in process, plant, materials, or job content so that this Plan can be reviewed and, where necessary, revised.</w:t>
      </w:r>
    </w:p>
    <w:p>
      <w:pPr>
        <w:spacing w:after="120" w:line="300" w:lineRule="auto"/>
      </w:pPr>
      <w:r>
        <w:rPr>
          <w:rFonts w:ascii="Arial" w:cs="Arial" w:eastAsia="Arial" w:hAnsi="Arial"/>
          <w:b w:val="false"/>
          <w:bCs w:val="false"/>
          <w:i w:val="false"/>
          <w:iCs w:val="false"/>
          <w:color w:val="1A1A1A"/>
          <w:sz w:val="19"/>
          <w:szCs w:val="19"/>
        </w:rPr>
        <w:t xml:space="preserve">Reference risk assessment relied upon for this Plan: risk assessment dated 2026-05-10, conducted by SafeWork AIA (Pty) Ltd (SANAS accredited Approved Inspection Authority), next review 2027-05-10.</w:t>
      </w:r>
    </w:p>
    <w:p>
      <w:pPr>
        <w:pStyle w:val="Heading1"/>
        <w:spacing w:after="160" w:before="320"/>
      </w:pPr>
      <w:r>
        <w:rPr>
          <w:rFonts w:ascii="Arial" w:cs="Arial" w:eastAsia="Arial" w:hAnsi="Arial"/>
          <w:b/>
          <w:bCs/>
          <w:color w:val="ED1B24"/>
          <w:sz w:val="28"/>
          <w:szCs w:val="28"/>
        </w:rPr>
        <w:t xml:space="preserve">5. JOB DESCRIPTIONS AND OCCUPATIONAL RISK EXPOSURE PROFILE (OREP)</w:t>
      </w:r>
    </w:p>
    <w:tbl>
      <w:tblPr>
        <w:tblW w:type="dxa" w:w="9072"/>
        <w:tblBorders>
          <w:top w:val="single" w:color="1A1A1A" w:sz="4"/>
          <w:left w:val="single" w:color="BBBBBB" w:sz="2"/>
          <w:bottom w:val="single" w:color="1A1A1A" w:sz="4"/>
          <w:right w:val="single" w:color="BBBBBB" w:sz="2"/>
          <w:insideH w:val="single" w:color="CCCCCC" w:sz="2"/>
          <w:insideV w:val="single" w:color="CCCCCC" w:sz="2"/>
        </w:tblBorders>
      </w:tblPr>
      <w:tblGrid>
        <w:gridCol w:w="1750"/>
        <w:gridCol w:w="850"/>
        <w:gridCol w:w="2300"/>
        <w:gridCol w:w="2600"/>
        <w:gridCol w:w="1572"/>
      </w:tblGrid>
      <w:tr>
        <w:trPr>
          <w:tblHeader/>
        </w:trPr>
        <w:tc>
          <w:tcPr>
            <w:tcW w:type="dxa" w:w="1750"/>
            <w:shd w:fill="1A1A1A" w:val="clear"/>
            <w:tcMar>
              <w:top w:type="dxa" w:w="60"/>
              <w:left w:type="dxa" w:w="80"/>
              <w:bottom w:type="dxa" w:w="60"/>
              <w:right w:type="dxa" w:w="80"/>
            </w:tcMar>
            <w:vAlign w:val="top"/>
          </w:tcPr>
          <w:p>
            <w:r>
              <w:rPr>
                <w:rFonts w:ascii="Arial" w:cs="Arial" w:eastAsia="Arial" w:hAnsi="Arial"/>
                <w:b/>
                <w:bCs/>
                <w:i w:val="false"/>
                <w:iCs w:val="false"/>
                <w:color w:val="FFFFFF"/>
                <w:sz w:val="17"/>
                <w:szCs w:val="17"/>
              </w:rPr>
              <w:t xml:space="preserve">Job title</w:t>
            </w:r>
          </w:p>
        </w:tc>
        <w:tc>
          <w:tcPr>
            <w:tcW w:type="dxa" w:w="850"/>
            <w:shd w:fill="1A1A1A" w:val="clear"/>
            <w:tcMar>
              <w:top w:type="dxa" w:w="60"/>
              <w:left w:type="dxa" w:w="80"/>
              <w:bottom w:type="dxa" w:w="60"/>
              <w:right w:type="dxa" w:w="80"/>
            </w:tcMar>
            <w:vAlign w:val="top"/>
          </w:tcPr>
          <w:p>
            <w:r>
              <w:rPr>
                <w:rFonts w:ascii="Arial" w:cs="Arial" w:eastAsia="Arial" w:hAnsi="Arial"/>
                <w:b/>
                <w:bCs/>
                <w:i w:val="false"/>
                <w:iCs w:val="false"/>
                <w:color w:val="FFFFFF"/>
                <w:sz w:val="17"/>
                <w:szCs w:val="17"/>
              </w:rPr>
              <w:t xml:space="preserve">Employees</w:t>
            </w:r>
          </w:p>
        </w:tc>
        <w:tc>
          <w:tcPr>
            <w:tcW w:type="dxa" w:w="2300"/>
            <w:shd w:fill="1A1A1A" w:val="clear"/>
            <w:tcMar>
              <w:top w:type="dxa" w:w="60"/>
              <w:left w:type="dxa" w:w="80"/>
              <w:bottom w:type="dxa" w:w="60"/>
              <w:right w:type="dxa" w:w="80"/>
            </w:tcMar>
            <w:vAlign w:val="top"/>
          </w:tcPr>
          <w:p>
            <w:r>
              <w:rPr>
                <w:rFonts w:ascii="Arial" w:cs="Arial" w:eastAsia="Arial" w:hAnsi="Arial"/>
                <w:b/>
                <w:bCs/>
                <w:i w:val="false"/>
                <w:iCs w:val="false"/>
                <w:color w:val="FFFFFF"/>
                <w:sz w:val="17"/>
                <w:szCs w:val="17"/>
              </w:rPr>
              <w:t xml:space="preserve">Principal duties</w:t>
            </w:r>
          </w:p>
        </w:tc>
        <w:tc>
          <w:tcPr>
            <w:tcW w:type="dxa" w:w="2600"/>
            <w:shd w:fill="1A1A1A" w:val="clear"/>
            <w:tcMar>
              <w:top w:type="dxa" w:w="60"/>
              <w:left w:type="dxa" w:w="80"/>
              <w:bottom w:type="dxa" w:w="60"/>
              <w:right w:type="dxa" w:w="80"/>
            </w:tcMar>
            <w:vAlign w:val="top"/>
          </w:tcPr>
          <w:p>
            <w:r>
              <w:rPr>
                <w:rFonts w:ascii="Arial" w:cs="Arial" w:eastAsia="Arial" w:hAnsi="Arial"/>
                <w:b/>
                <w:bCs/>
                <w:i w:val="false"/>
                <w:iCs w:val="false"/>
                <w:color w:val="FFFFFF"/>
                <w:sz w:val="17"/>
                <w:szCs w:val="17"/>
              </w:rPr>
              <w:t xml:space="preserve">Identified hazards</w:t>
            </w:r>
          </w:p>
        </w:tc>
        <w:tc>
          <w:tcPr>
            <w:tcW w:type="dxa" w:w="1572"/>
            <w:shd w:fill="1A1A1A" w:val="clear"/>
            <w:tcMar>
              <w:top w:type="dxa" w:w="60"/>
              <w:left w:type="dxa" w:w="80"/>
              <w:bottom w:type="dxa" w:w="60"/>
              <w:right w:type="dxa" w:w="80"/>
            </w:tcMar>
            <w:vAlign w:val="top"/>
          </w:tcPr>
          <w:p>
            <w:r>
              <w:rPr>
                <w:rFonts w:ascii="Arial" w:cs="Arial" w:eastAsia="Arial" w:hAnsi="Arial"/>
                <w:b/>
                <w:bCs/>
                <w:i w:val="false"/>
                <w:iCs w:val="false"/>
                <w:color w:val="FFFFFF"/>
                <w:sz w:val="17"/>
                <w:szCs w:val="17"/>
              </w:rPr>
              <w:t xml:space="preserve">Exposure rating</w:t>
            </w:r>
          </w:p>
        </w:tc>
      </w:tr>
      <w:tr>
        <w:tc>
          <w:tcPr>
            <w:tcW w:type="dxa" w:w="1750"/>
            <w:shd w:fill="FFFFFF"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Site Manager / Supervisor</w:t>
            </w:r>
          </w:p>
        </w:tc>
        <w:tc>
          <w:tcPr>
            <w:tcW w:type="dxa" w:w="850"/>
            <w:shd w:fill="FFFFFF"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6</w:t>
            </w:r>
          </w:p>
        </w:tc>
        <w:tc>
          <w:tcPr>
            <w:tcW w:type="dxa" w:w="2300"/>
            <w:shd w:fill="FFFFFF"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Site oversight, inspection, coordination of trades</w:t>
            </w:r>
          </w:p>
        </w:tc>
        <w:tc>
          <w:tcPr>
            <w:tcW w:type="dxa" w:w="2600"/>
            <w:shd w:fill="FFFFFF"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A: Noise (plant, tools, machinery); B: Dust, respirable crystalline silica; E: Working at height (above 1.5m); H: Heat and thermal stress</w:t>
            </w:r>
          </w:p>
        </w:tc>
        <w:tc>
          <w:tcPr>
            <w:tcW w:type="dxa" w:w="1572"/>
            <w:shd w:fill="FFFFFF"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Low; Low; Low to Moderate; Low</w:t>
            </w:r>
          </w:p>
        </w:tc>
      </w:tr>
      <w:tr>
        <w:tc>
          <w:tcPr>
            <w:tcW w:type="dxa" w:w="1750"/>
            <w:shd w:fill="F2F2F2"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General Labourer</w:t>
            </w:r>
          </w:p>
        </w:tc>
        <w:tc>
          <w:tcPr>
            <w:tcW w:type="dxa" w:w="850"/>
            <w:shd w:fill="F2F2F2"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30</w:t>
            </w:r>
          </w:p>
        </w:tc>
        <w:tc>
          <w:tcPr>
            <w:tcW w:type="dxa" w:w="2300"/>
            <w:shd w:fill="F2F2F2"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Manual labour, material handling, site clearing</w:t>
            </w:r>
          </w:p>
        </w:tc>
        <w:tc>
          <w:tcPr>
            <w:tcW w:type="dxa" w:w="2600"/>
            <w:shd w:fill="F2F2F2"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A: Noise (plant, tools, machinery); B: Dust, respirable crystalline silica; I: Manual handling and ergonomic strain; H: Heat and thermal stress</w:t>
            </w:r>
          </w:p>
        </w:tc>
        <w:tc>
          <w:tcPr>
            <w:tcW w:type="dxa" w:w="1572"/>
            <w:shd w:fill="F2F2F2"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Moderate; Moderate; Moderate; Moderate</w:t>
            </w:r>
          </w:p>
        </w:tc>
      </w:tr>
      <w:tr>
        <w:tc>
          <w:tcPr>
            <w:tcW w:type="dxa" w:w="1750"/>
            <w:shd w:fill="FFFFFF"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Scaffolder / Heights Worker</w:t>
            </w:r>
          </w:p>
        </w:tc>
        <w:tc>
          <w:tcPr>
            <w:tcW w:type="dxa" w:w="850"/>
            <w:shd w:fill="FFFFFF"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12</w:t>
            </w:r>
          </w:p>
        </w:tc>
        <w:tc>
          <w:tcPr>
            <w:tcW w:type="dxa" w:w="2300"/>
            <w:shd w:fill="FFFFFF"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Erecting and dismantling scaffolding and access structures</w:t>
            </w:r>
          </w:p>
        </w:tc>
        <w:tc>
          <w:tcPr>
            <w:tcW w:type="dxa" w:w="2600"/>
            <w:shd w:fill="FFFFFF"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E: Working at height (above 1.5m); G: Vibration, hand arm and whole body; A: Noise (plant, tools, machinery)</w:t>
            </w:r>
          </w:p>
        </w:tc>
        <w:tc>
          <w:tcPr>
            <w:tcW w:type="dxa" w:w="1572"/>
            <w:shd w:fill="FFFFFF"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High; Moderate; Moderate</w:t>
            </w:r>
          </w:p>
        </w:tc>
      </w:tr>
      <w:tr>
        <w:tc>
          <w:tcPr>
            <w:tcW w:type="dxa" w:w="1750"/>
            <w:shd w:fill="F2F2F2"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Plant Operator</w:t>
            </w:r>
          </w:p>
        </w:tc>
        <w:tc>
          <w:tcPr>
            <w:tcW w:type="dxa" w:w="850"/>
            <w:shd w:fill="F2F2F2"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10</w:t>
            </w:r>
          </w:p>
        </w:tc>
        <w:tc>
          <w:tcPr>
            <w:tcW w:type="dxa" w:w="2300"/>
            <w:shd w:fill="F2F2F2"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Operating excavators, TLBs, rollers</w:t>
            </w:r>
          </w:p>
        </w:tc>
        <w:tc>
          <w:tcPr>
            <w:tcW w:type="dxa" w:w="2600"/>
            <w:shd w:fill="F2F2F2"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G: Vibration, hand arm and whole body; A: Noise (plant, tools, machinery); C: Hazardous chemicals (agent specific); I: Manual handling and ergonomic strain</w:t>
            </w:r>
          </w:p>
        </w:tc>
        <w:tc>
          <w:tcPr>
            <w:tcW w:type="dxa" w:w="1572"/>
            <w:shd w:fill="F2F2F2"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Moderate to High; High; Moderate; Moderate</w:t>
            </w:r>
          </w:p>
        </w:tc>
      </w:tr>
      <w:tr>
        <w:tc>
          <w:tcPr>
            <w:tcW w:type="dxa" w:w="1750"/>
            <w:shd w:fill="FFFFFF"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Welder / Steel Fabricator</w:t>
            </w:r>
          </w:p>
        </w:tc>
        <w:tc>
          <w:tcPr>
            <w:tcW w:type="dxa" w:w="850"/>
            <w:shd w:fill="FFFFFF"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8</w:t>
            </w:r>
          </w:p>
        </w:tc>
        <w:tc>
          <w:tcPr>
            <w:tcW w:type="dxa" w:w="2300"/>
            <w:shd w:fill="FFFFFF"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Cutting, welding, fabricating structural steel</w:t>
            </w:r>
          </w:p>
        </w:tc>
        <w:tc>
          <w:tcPr>
            <w:tcW w:type="dxa" w:w="2600"/>
            <w:shd w:fill="FFFFFF"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C: Hazardous chemicals (agent specific); L: Ionising or non ionising radiation; A: Noise (plant, tools, machinery)</w:t>
            </w:r>
          </w:p>
        </w:tc>
        <w:tc>
          <w:tcPr>
            <w:tcW w:type="dxa" w:w="1572"/>
            <w:shd w:fill="FFFFFF"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High; Moderate; Moderate to High</w:t>
            </w:r>
          </w:p>
        </w:tc>
      </w:tr>
      <w:tr>
        <w:tc>
          <w:tcPr>
            <w:tcW w:type="dxa" w:w="1750"/>
            <w:shd w:fill="F2F2F2"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Concrete and Cement Worker</w:t>
            </w:r>
          </w:p>
        </w:tc>
        <w:tc>
          <w:tcPr>
            <w:tcW w:type="dxa" w:w="850"/>
            <w:shd w:fill="F2F2F2"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12</w:t>
            </w:r>
          </w:p>
        </w:tc>
        <w:tc>
          <w:tcPr>
            <w:tcW w:type="dxa" w:w="2300"/>
            <w:shd w:fill="F2F2F2"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Mixing, placing, finishing concrete</w:t>
            </w:r>
          </w:p>
        </w:tc>
        <w:tc>
          <w:tcPr>
            <w:tcW w:type="dxa" w:w="2600"/>
            <w:shd w:fill="F2F2F2"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B: Dust, respirable crystalline silica; C: Hazardous chemicals (agent specific); I: Manual handling and ergonomic strain</w:t>
            </w:r>
          </w:p>
        </w:tc>
        <w:tc>
          <w:tcPr>
            <w:tcW w:type="dxa" w:w="1572"/>
            <w:shd w:fill="F2F2F2"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High; Moderate; Moderate</w:t>
            </w:r>
          </w:p>
        </w:tc>
      </w:tr>
      <w:tr>
        <w:tc>
          <w:tcPr>
            <w:tcW w:type="dxa" w:w="1750"/>
            <w:shd w:fill="FFFFFF"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Driver / Plant and Materials Transport</w:t>
            </w:r>
          </w:p>
        </w:tc>
        <w:tc>
          <w:tcPr>
            <w:tcW w:type="dxa" w:w="850"/>
            <w:shd w:fill="FFFFFF"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5</w:t>
            </w:r>
          </w:p>
        </w:tc>
        <w:tc>
          <w:tcPr>
            <w:tcW w:type="dxa" w:w="2300"/>
            <w:shd w:fill="FFFFFF"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Transporting materials and plant between sites</w:t>
            </w:r>
          </w:p>
        </w:tc>
        <w:tc>
          <w:tcPr>
            <w:tcW w:type="dxa" w:w="2600"/>
            <w:shd w:fill="FFFFFF"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J: Driving (licence and PrDP class per notes); G: Vibration, hand arm and whole body; I: Manual handling and ergonomic strain</w:t>
            </w:r>
          </w:p>
        </w:tc>
        <w:tc>
          <w:tcPr>
            <w:tcW w:type="dxa" w:w="1572"/>
            <w:shd w:fill="FFFFFF"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Moderate; Moderate; Moderate</w:t>
            </w:r>
          </w:p>
        </w:tc>
      </w:tr>
    </w:tbl>
    <w:p>
      <w:pPr>
        <w:spacing w:after="100" w:line="300" w:lineRule="auto"/>
      </w:pPr>
      <w:r>
        <w:rPr>
          <w:rFonts w:ascii="Arial" w:cs="Arial" w:eastAsia="Arial" w:hAnsi="Arial"/>
          <w:b w:val="false"/>
          <w:bCs w:val="false"/>
          <w:i w:val="false"/>
          <w:iCs w:val="false"/>
          <w:color w:val="1A1A1A"/>
          <w:sz w:val="20"/>
          <w:szCs w:val="20"/>
        </w:rPr>
        <w:t xml:space="preserve"/>
      </w:r>
    </w:p>
    <w:tbl>
      <w:tblPr>
        <w:tblW w:type="dxa" w:w="9072"/>
        <w:tblBorders>
          <w:top w:val="single" w:color="1A1A1A" w:sz="4"/>
          <w:left w:val="single" w:color="BBBBBB" w:sz="2"/>
          <w:bottom w:val="single" w:color="1A1A1A" w:sz="4"/>
          <w:right w:val="single" w:color="BBBBBB" w:sz="2"/>
          <w:insideH w:val="single" w:color="CCCCCC" w:sz="2"/>
          <w:insideV w:val="single" w:color="CCCCCC" w:sz="2"/>
        </w:tblBorders>
      </w:tblPr>
      <w:tblGrid>
        <w:gridCol w:w="2700"/>
        <w:gridCol w:w="1500"/>
        <w:gridCol w:w="2400"/>
        <w:gridCol w:w="1400"/>
        <w:gridCol w:w="1072"/>
      </w:tblGrid>
      <w:tr>
        <w:trPr>
          <w:tblHeader/>
        </w:trPr>
        <w:tc>
          <w:tcPr>
            <w:tcW w:type="dxa" w:w="2700"/>
            <w:shd w:fill="1A1A1A" w:val="clear"/>
            <w:tcMar>
              <w:top w:type="dxa" w:w="60"/>
              <w:left w:type="dxa" w:w="80"/>
              <w:bottom w:type="dxa" w:w="60"/>
              <w:right w:type="dxa" w:w="80"/>
            </w:tcMar>
            <w:vAlign w:val="top"/>
          </w:tcPr>
          <w:p>
            <w:r>
              <w:rPr>
                <w:rFonts w:ascii="Arial" w:cs="Arial" w:eastAsia="Arial" w:hAnsi="Arial"/>
                <w:b/>
                <w:bCs/>
                <w:i w:val="false"/>
                <w:iCs w:val="false"/>
                <w:color w:val="FFFFFF"/>
                <w:sz w:val="17"/>
                <w:szCs w:val="17"/>
              </w:rPr>
              <w:t xml:space="preserve">Hazard and location</w:t>
            </w:r>
          </w:p>
        </w:tc>
        <w:tc>
          <w:tcPr>
            <w:tcW w:type="dxa" w:w="1500"/>
            <w:shd w:fill="1A1A1A" w:val="clear"/>
            <w:tcMar>
              <w:top w:type="dxa" w:w="60"/>
              <w:left w:type="dxa" w:w="80"/>
              <w:bottom w:type="dxa" w:w="60"/>
              <w:right w:type="dxa" w:w="80"/>
            </w:tcMar>
            <w:vAlign w:val="top"/>
          </w:tcPr>
          <w:p>
            <w:r>
              <w:rPr>
                <w:rFonts w:ascii="Arial" w:cs="Arial" w:eastAsia="Arial" w:hAnsi="Arial"/>
                <w:b/>
                <w:bCs/>
                <w:i w:val="false"/>
                <w:iCs w:val="false"/>
                <w:color w:val="FFFFFF"/>
                <w:sz w:val="17"/>
                <w:szCs w:val="17"/>
              </w:rPr>
              <w:t xml:space="preserve">Measured level</w:t>
            </w:r>
          </w:p>
        </w:tc>
        <w:tc>
          <w:tcPr>
            <w:tcW w:type="dxa" w:w="2400"/>
            <w:shd w:fill="1A1A1A" w:val="clear"/>
            <w:tcMar>
              <w:top w:type="dxa" w:w="60"/>
              <w:left w:type="dxa" w:w="80"/>
              <w:bottom w:type="dxa" w:w="60"/>
              <w:right w:type="dxa" w:w="80"/>
            </w:tcMar>
            <w:vAlign w:val="top"/>
          </w:tcPr>
          <w:p>
            <w:r>
              <w:rPr>
                <w:rFonts w:ascii="Arial" w:cs="Arial" w:eastAsia="Arial" w:hAnsi="Arial"/>
                <w:b/>
                <w:bCs/>
                <w:i w:val="false"/>
                <w:iCs w:val="false"/>
                <w:color w:val="FFFFFF"/>
                <w:sz w:val="17"/>
                <w:szCs w:val="17"/>
              </w:rPr>
              <w:t xml:space="preserve">OEL or action value</w:t>
            </w:r>
          </w:p>
        </w:tc>
        <w:tc>
          <w:tcPr>
            <w:tcW w:type="dxa" w:w="1400"/>
            <w:shd w:fill="1A1A1A" w:val="clear"/>
            <w:tcMar>
              <w:top w:type="dxa" w:w="60"/>
              <w:left w:type="dxa" w:w="80"/>
              <w:bottom w:type="dxa" w:w="60"/>
              <w:right w:type="dxa" w:w="80"/>
            </w:tcMar>
            <w:vAlign w:val="top"/>
          </w:tcPr>
          <w:p>
            <w:r>
              <w:rPr>
                <w:rFonts w:ascii="Arial" w:cs="Arial" w:eastAsia="Arial" w:hAnsi="Arial"/>
                <w:b/>
                <w:bCs/>
                <w:i w:val="false"/>
                <w:iCs w:val="false"/>
                <w:color w:val="FFFFFF"/>
                <w:sz w:val="17"/>
                <w:szCs w:val="17"/>
              </w:rPr>
              <w:t xml:space="preserve">Assessment</w:t>
            </w:r>
          </w:p>
        </w:tc>
        <w:tc>
          <w:tcPr>
            <w:tcW w:type="dxa" w:w="1072"/>
            <w:shd w:fill="1A1A1A" w:val="clear"/>
            <w:tcMar>
              <w:top w:type="dxa" w:w="60"/>
              <w:left w:type="dxa" w:w="80"/>
              <w:bottom w:type="dxa" w:w="60"/>
              <w:right w:type="dxa" w:w="80"/>
            </w:tcMar>
            <w:vAlign w:val="top"/>
          </w:tcPr>
          <w:p>
            <w:r>
              <w:rPr>
                <w:rFonts w:ascii="Arial" w:cs="Arial" w:eastAsia="Arial" w:hAnsi="Arial"/>
                <w:b/>
                <w:bCs/>
                <w:i w:val="false"/>
                <w:iCs w:val="false"/>
                <w:color w:val="FFFFFF"/>
                <w:sz w:val="17"/>
                <w:szCs w:val="17"/>
              </w:rPr>
              <w:t xml:space="preserve">Date measured</w:t>
            </w:r>
          </w:p>
        </w:tc>
      </w:tr>
      <w:tr>
        <w:tc>
          <w:tcPr>
            <w:tcW w:type="dxa" w:w="2700"/>
            <w:shd w:fill="FFFFFF"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Noise, plant and compaction area</w:t>
            </w:r>
          </w:p>
        </w:tc>
        <w:tc>
          <w:tcPr>
            <w:tcW w:type="dxa" w:w="1500"/>
            <w:shd w:fill="FFFFFF"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92 dB(A) 8 hour TWA</w:t>
            </w:r>
          </w:p>
        </w:tc>
        <w:tc>
          <w:tcPr>
            <w:tcW w:type="dxa" w:w="2400"/>
            <w:shd w:fill="FFFFFF"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85 dB(A), 8 hour rating level, the noise rating limit</w:t>
            </w:r>
          </w:p>
        </w:tc>
        <w:tc>
          <w:tcPr>
            <w:tcW w:type="dxa" w:w="1400"/>
            <w:shd w:fill="FFFFFF"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exceeds</w:t>
            </w:r>
          </w:p>
        </w:tc>
        <w:tc>
          <w:tcPr>
            <w:tcW w:type="dxa" w:w="1072"/>
            <w:shd w:fill="FFFFFF"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2026-06-15</w:t>
            </w:r>
          </w:p>
        </w:tc>
      </w:tr>
      <w:tr>
        <w:tc>
          <w:tcPr>
            <w:tcW w:type="dxa" w:w="2700"/>
            <w:shd w:fill="F2F2F2"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Respirable crystalline silica, concrete cutting and grinding</w:t>
            </w:r>
          </w:p>
        </w:tc>
        <w:tc>
          <w:tcPr>
            <w:tcW w:type="dxa" w:w="1500"/>
            <w:shd w:fill="F2F2F2"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0.15 mg/m3 8 hour TWA</w:t>
            </w:r>
          </w:p>
        </w:tc>
        <w:tc>
          <w:tcPr>
            <w:tcW w:type="dxa" w:w="2400"/>
            <w:shd w:fill="F2F2F2"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0.1 mg/m3, 8 hour time weighted average</w:t>
            </w:r>
          </w:p>
        </w:tc>
        <w:tc>
          <w:tcPr>
            <w:tcW w:type="dxa" w:w="1400"/>
            <w:shd w:fill="F2F2F2"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exceeds</w:t>
            </w:r>
          </w:p>
        </w:tc>
        <w:tc>
          <w:tcPr>
            <w:tcW w:type="dxa" w:w="1072"/>
            <w:shd w:fill="F2F2F2"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2026-06-15</w:t>
            </w:r>
          </w:p>
        </w:tc>
      </w:tr>
      <w:tr>
        <w:tc>
          <w:tcPr>
            <w:tcW w:type="dxa" w:w="2700"/>
            <w:shd w:fill="FFFFFF"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Welding fume as manganese, fabrication bay</w:t>
            </w:r>
          </w:p>
        </w:tc>
        <w:tc>
          <w:tcPr>
            <w:tcW w:type="dxa" w:w="1500"/>
            <w:shd w:fill="FFFFFF"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0.18 mg/m3 8 hour TWA</w:t>
            </w:r>
          </w:p>
        </w:tc>
        <w:tc>
          <w:tcPr>
            <w:tcW w:type="dxa" w:w="2400"/>
            <w:shd w:fill="FFFFFF"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0.02 mg/m3 (client stated, not kernel verified)</w:t>
            </w:r>
          </w:p>
        </w:tc>
        <w:tc>
          <w:tcPr>
            <w:tcW w:type="dxa" w:w="1400"/>
            <w:shd w:fill="FFFFFF"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significantly exceeds</w:t>
            </w:r>
          </w:p>
        </w:tc>
        <w:tc>
          <w:tcPr>
            <w:tcW w:type="dxa" w:w="1072"/>
            <w:shd w:fill="FFFFFF"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2026-06-15</w:t>
            </w:r>
          </w:p>
        </w:tc>
      </w:tr>
    </w:tbl>
    <w:p>
      <w:pPr>
        <w:spacing w:after="100" w:line="300" w:lineRule="auto"/>
      </w:pPr>
      <w:r>
        <w:rPr>
          <w:rFonts w:ascii="Arial" w:cs="Arial" w:eastAsia="Arial" w:hAnsi="Arial"/>
          <w:b w:val="false"/>
          <w:bCs w:val="false"/>
          <w:i w:val="false"/>
          <w:iCs w:val="false"/>
          <w:color w:val="1A1A1A"/>
          <w:sz w:val="20"/>
          <w:szCs w:val="20"/>
        </w:rPr>
        <w:t xml:space="preserve"/>
      </w:r>
    </w:p>
    <w:tbl>
      <w:tblPr>
        <w:tblW w:type="dxa" w:w="9072"/>
        <w:tblBorders>
          <w:top w:val="single" w:color="1A1A1A" w:sz="4"/>
          <w:left w:val="single" w:color="BBBBBB" w:sz="2"/>
          <w:bottom w:val="single" w:color="1A1A1A" w:sz="4"/>
          <w:right w:val="single" w:color="BBBBBB" w:sz="2"/>
          <w:insideH w:val="single" w:color="CCCCCC" w:sz="2"/>
          <w:insideV w:val="single" w:color="CCCCCC" w:sz="2"/>
        </w:tblBorders>
      </w:tblPr>
      <w:tblGrid>
        <w:gridCol w:w="1850"/>
        <w:gridCol w:w="2100"/>
        <w:gridCol w:w="500"/>
        <w:gridCol w:w="500"/>
        <w:gridCol w:w="1500"/>
        <w:gridCol w:w="1300"/>
        <w:gridCol w:w="1322"/>
      </w:tblGrid>
      <w:tr>
        <w:trPr>
          <w:tblHeader/>
        </w:trPr>
        <w:tc>
          <w:tcPr>
            <w:tcW w:type="dxa" w:w="1850"/>
            <w:shd w:fill="1A1A1A" w:val="clear"/>
            <w:tcMar>
              <w:top w:type="dxa" w:w="60"/>
              <w:left w:type="dxa" w:w="80"/>
              <w:bottom w:type="dxa" w:w="60"/>
              <w:right w:type="dxa" w:w="80"/>
            </w:tcMar>
            <w:vAlign w:val="top"/>
          </w:tcPr>
          <w:p>
            <w:r>
              <w:rPr>
                <w:rFonts w:ascii="Arial" w:cs="Arial" w:eastAsia="Arial" w:hAnsi="Arial"/>
                <w:b/>
                <w:bCs/>
                <w:i w:val="false"/>
                <w:iCs w:val="false"/>
                <w:color w:val="FFFFFF"/>
                <w:sz w:val="17"/>
                <w:szCs w:val="17"/>
              </w:rPr>
              <w:t xml:space="preserve">Job title</w:t>
            </w:r>
          </w:p>
        </w:tc>
        <w:tc>
          <w:tcPr>
            <w:tcW w:type="dxa" w:w="2100"/>
            <w:shd w:fill="1A1A1A" w:val="clear"/>
            <w:tcMar>
              <w:top w:type="dxa" w:w="60"/>
              <w:left w:type="dxa" w:w="80"/>
              <w:bottom w:type="dxa" w:w="60"/>
              <w:right w:type="dxa" w:w="80"/>
            </w:tcMar>
            <w:vAlign w:val="top"/>
          </w:tcPr>
          <w:p>
            <w:r>
              <w:rPr>
                <w:rFonts w:ascii="Arial" w:cs="Arial" w:eastAsia="Arial" w:hAnsi="Arial"/>
                <w:b/>
                <w:bCs/>
                <w:i w:val="false"/>
                <w:iCs w:val="false"/>
                <w:color w:val="FFFFFF"/>
                <w:sz w:val="17"/>
                <w:szCs w:val="17"/>
              </w:rPr>
              <w:t xml:space="preserve">Hazard</w:t>
            </w:r>
          </w:p>
        </w:tc>
        <w:tc>
          <w:tcPr>
            <w:tcW w:type="dxa" w:w="500"/>
            <w:shd w:fill="1A1A1A" w:val="clear"/>
            <w:tcMar>
              <w:top w:type="dxa" w:w="60"/>
              <w:left w:type="dxa" w:w="80"/>
              <w:bottom w:type="dxa" w:w="60"/>
              <w:right w:type="dxa" w:w="80"/>
            </w:tcMar>
            <w:vAlign w:val="top"/>
          </w:tcPr>
          <w:p>
            <w:r>
              <w:rPr>
                <w:rFonts w:ascii="Arial" w:cs="Arial" w:eastAsia="Arial" w:hAnsi="Arial"/>
                <w:b/>
                <w:bCs/>
                <w:i w:val="false"/>
                <w:iCs w:val="false"/>
                <w:color w:val="FFFFFF"/>
                <w:sz w:val="17"/>
                <w:szCs w:val="17"/>
              </w:rPr>
              <w:t xml:space="preserve">L</w:t>
            </w:r>
          </w:p>
        </w:tc>
        <w:tc>
          <w:tcPr>
            <w:tcW w:type="dxa" w:w="500"/>
            <w:shd w:fill="1A1A1A" w:val="clear"/>
            <w:tcMar>
              <w:top w:type="dxa" w:w="60"/>
              <w:left w:type="dxa" w:w="80"/>
              <w:bottom w:type="dxa" w:w="60"/>
              <w:right w:type="dxa" w:w="80"/>
            </w:tcMar>
            <w:vAlign w:val="top"/>
          </w:tcPr>
          <w:p>
            <w:r>
              <w:rPr>
                <w:rFonts w:ascii="Arial" w:cs="Arial" w:eastAsia="Arial" w:hAnsi="Arial"/>
                <w:b/>
                <w:bCs/>
                <w:i w:val="false"/>
                <w:iCs w:val="false"/>
                <w:color w:val="FFFFFF"/>
                <w:sz w:val="17"/>
                <w:szCs w:val="17"/>
              </w:rPr>
              <w:t xml:space="preserve">S</w:t>
            </w:r>
          </w:p>
        </w:tc>
        <w:tc>
          <w:tcPr>
            <w:tcW w:type="dxa" w:w="1500"/>
            <w:shd w:fill="1A1A1A" w:val="clear"/>
            <w:tcMar>
              <w:top w:type="dxa" w:w="60"/>
              <w:left w:type="dxa" w:w="80"/>
              <w:bottom w:type="dxa" w:w="60"/>
              <w:right w:type="dxa" w:w="80"/>
            </w:tcMar>
            <w:vAlign w:val="top"/>
          </w:tcPr>
          <w:p>
            <w:r>
              <w:rPr>
                <w:rFonts w:ascii="Arial" w:cs="Arial" w:eastAsia="Arial" w:hAnsi="Arial"/>
                <w:b/>
                <w:bCs/>
                <w:i w:val="false"/>
                <w:iCs w:val="false"/>
                <w:color w:val="FFFFFF"/>
                <w:sz w:val="17"/>
                <w:szCs w:val="17"/>
              </w:rPr>
              <w:t xml:space="preserve">Exposure rating</w:t>
            </w:r>
          </w:p>
        </w:tc>
        <w:tc>
          <w:tcPr>
            <w:tcW w:type="dxa" w:w="1300"/>
            <w:shd w:fill="1A1A1A" w:val="clear"/>
            <w:tcMar>
              <w:top w:type="dxa" w:w="60"/>
              <w:left w:type="dxa" w:w="80"/>
              <w:bottom w:type="dxa" w:w="60"/>
              <w:right w:type="dxa" w:w="80"/>
            </w:tcMar>
            <w:vAlign w:val="top"/>
          </w:tcPr>
          <w:p>
            <w:r>
              <w:rPr>
                <w:rFonts w:ascii="Arial" w:cs="Arial" w:eastAsia="Arial" w:hAnsi="Arial"/>
                <w:b/>
                <w:bCs/>
                <w:i w:val="false"/>
                <w:iCs w:val="false"/>
                <w:color w:val="FFFFFF"/>
                <w:sz w:val="17"/>
                <w:szCs w:val="17"/>
              </w:rPr>
              <w:t xml:space="preserve">Control adequacy</w:t>
            </w:r>
          </w:p>
        </w:tc>
        <w:tc>
          <w:tcPr>
            <w:tcW w:type="dxa" w:w="1322"/>
            <w:shd w:fill="1A1A1A" w:val="clear"/>
            <w:tcMar>
              <w:top w:type="dxa" w:w="60"/>
              <w:left w:type="dxa" w:w="80"/>
              <w:bottom w:type="dxa" w:w="60"/>
              <w:right w:type="dxa" w:w="80"/>
            </w:tcMar>
            <w:vAlign w:val="top"/>
          </w:tcPr>
          <w:p>
            <w:r>
              <w:rPr>
                <w:rFonts w:ascii="Arial" w:cs="Arial" w:eastAsia="Arial" w:hAnsi="Arial"/>
                <w:b/>
                <w:bCs/>
                <w:i w:val="false"/>
                <w:iCs w:val="false"/>
                <w:color w:val="FFFFFF"/>
                <w:sz w:val="17"/>
                <w:szCs w:val="17"/>
              </w:rPr>
              <w:t xml:space="preserve">Residual risk</w:t>
            </w:r>
          </w:p>
        </w:tc>
      </w:tr>
      <w:tr>
        <w:tc>
          <w:tcPr>
            <w:tcW w:type="dxa" w:w="1850"/>
            <w:shd w:fill="FFFFFF"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Site Manager / Supervisor</w:t>
            </w:r>
          </w:p>
        </w:tc>
        <w:tc>
          <w:tcPr>
            <w:tcW w:type="dxa" w:w="2100"/>
            <w:shd w:fill="FFFFFF"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A: Noise (plant, tools, machinery)</w:t>
            </w:r>
          </w:p>
        </w:tc>
        <w:tc>
          <w:tcPr>
            <w:tcW w:type="dxa" w:w="500"/>
            <w:shd w:fill="FFFFFF"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3</w:t>
            </w:r>
          </w:p>
        </w:tc>
        <w:tc>
          <w:tcPr>
            <w:tcW w:type="dxa" w:w="500"/>
            <w:shd w:fill="FFFFFF"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3</w:t>
            </w:r>
          </w:p>
        </w:tc>
        <w:tc>
          <w:tcPr>
            <w:tcW w:type="dxa" w:w="1500"/>
            <w:shd w:fill="FFFFFF"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Low</w:t>
            </w:r>
          </w:p>
        </w:tc>
        <w:tc>
          <w:tcPr>
            <w:tcW w:type="dxa" w:w="1300"/>
            <w:shd w:fill="FFFFFF"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unknown</w:t>
            </w:r>
          </w:p>
        </w:tc>
        <w:tc>
          <w:tcPr>
            <w:tcW w:type="dxa" w:w="1322"/>
            <w:shd w:fill="FFFFFF"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high</w:t>
            </w:r>
          </w:p>
        </w:tc>
      </w:tr>
      <w:tr>
        <w:tc>
          <w:tcPr>
            <w:tcW w:type="dxa" w:w="1850"/>
            <w:shd w:fill="F2F2F2"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Site Manager / Supervisor</w:t>
            </w:r>
          </w:p>
        </w:tc>
        <w:tc>
          <w:tcPr>
            <w:tcW w:type="dxa" w:w="2100"/>
            <w:shd w:fill="F2F2F2"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B: Dust, respirable crystalline silica</w:t>
            </w:r>
          </w:p>
        </w:tc>
        <w:tc>
          <w:tcPr>
            <w:tcW w:type="dxa" w:w="500"/>
            <w:shd w:fill="F2F2F2"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3</w:t>
            </w:r>
          </w:p>
        </w:tc>
        <w:tc>
          <w:tcPr>
            <w:tcW w:type="dxa" w:w="500"/>
            <w:shd w:fill="F2F2F2"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4</w:t>
            </w:r>
          </w:p>
        </w:tc>
        <w:tc>
          <w:tcPr>
            <w:tcW w:type="dxa" w:w="1500"/>
            <w:shd w:fill="F2F2F2"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Low</w:t>
            </w:r>
          </w:p>
        </w:tc>
        <w:tc>
          <w:tcPr>
            <w:tcW w:type="dxa" w:w="1300"/>
            <w:shd w:fill="F2F2F2"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unknown</w:t>
            </w:r>
          </w:p>
        </w:tc>
        <w:tc>
          <w:tcPr>
            <w:tcW w:type="dxa" w:w="1322"/>
            <w:shd w:fill="F2F2F2"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high</w:t>
            </w:r>
          </w:p>
        </w:tc>
      </w:tr>
      <w:tr>
        <w:tc>
          <w:tcPr>
            <w:tcW w:type="dxa" w:w="1850"/>
            <w:shd w:fill="FFFFFF"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Site Manager / Supervisor</w:t>
            </w:r>
          </w:p>
        </w:tc>
        <w:tc>
          <w:tcPr>
            <w:tcW w:type="dxa" w:w="2100"/>
            <w:shd w:fill="FFFFFF"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E: Working at height (above 1.5m)</w:t>
            </w:r>
          </w:p>
        </w:tc>
        <w:tc>
          <w:tcPr>
            <w:tcW w:type="dxa" w:w="500"/>
            <w:shd w:fill="FFFFFF"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3</w:t>
            </w:r>
          </w:p>
        </w:tc>
        <w:tc>
          <w:tcPr>
            <w:tcW w:type="dxa" w:w="500"/>
            <w:shd w:fill="FFFFFF"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4</w:t>
            </w:r>
          </w:p>
        </w:tc>
        <w:tc>
          <w:tcPr>
            <w:tcW w:type="dxa" w:w="1500"/>
            <w:shd w:fill="FFFFFF"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Low to Moderate</w:t>
            </w:r>
          </w:p>
        </w:tc>
        <w:tc>
          <w:tcPr>
            <w:tcW w:type="dxa" w:w="1300"/>
            <w:shd w:fill="FFFFFF"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unknown</w:t>
            </w:r>
          </w:p>
        </w:tc>
        <w:tc>
          <w:tcPr>
            <w:tcW w:type="dxa" w:w="1322"/>
            <w:shd w:fill="FFFFFF"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high</w:t>
            </w:r>
          </w:p>
        </w:tc>
      </w:tr>
      <w:tr>
        <w:tc>
          <w:tcPr>
            <w:tcW w:type="dxa" w:w="1850"/>
            <w:shd w:fill="F2F2F2"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Site Manager / Supervisor</w:t>
            </w:r>
          </w:p>
        </w:tc>
        <w:tc>
          <w:tcPr>
            <w:tcW w:type="dxa" w:w="2100"/>
            <w:shd w:fill="F2F2F2"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H: Heat and thermal stress</w:t>
            </w:r>
          </w:p>
        </w:tc>
        <w:tc>
          <w:tcPr>
            <w:tcW w:type="dxa" w:w="500"/>
            <w:shd w:fill="F2F2F2"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2</w:t>
            </w:r>
          </w:p>
        </w:tc>
        <w:tc>
          <w:tcPr>
            <w:tcW w:type="dxa" w:w="500"/>
            <w:shd w:fill="F2F2F2"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2</w:t>
            </w:r>
          </w:p>
        </w:tc>
        <w:tc>
          <w:tcPr>
            <w:tcW w:type="dxa" w:w="1500"/>
            <w:shd w:fill="F2F2F2"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Low</w:t>
            </w:r>
          </w:p>
        </w:tc>
        <w:tc>
          <w:tcPr>
            <w:tcW w:type="dxa" w:w="1300"/>
            <w:shd w:fill="F2F2F2"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unknown</w:t>
            </w:r>
          </w:p>
        </w:tc>
        <w:tc>
          <w:tcPr>
            <w:tcW w:type="dxa" w:w="1322"/>
            <w:shd w:fill="F2F2F2"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moderate</w:t>
            </w:r>
          </w:p>
        </w:tc>
      </w:tr>
      <w:tr>
        <w:tc>
          <w:tcPr>
            <w:tcW w:type="dxa" w:w="1850"/>
            <w:shd w:fill="FFFFFF"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General Labourer</w:t>
            </w:r>
          </w:p>
        </w:tc>
        <w:tc>
          <w:tcPr>
            <w:tcW w:type="dxa" w:w="2100"/>
            <w:shd w:fill="FFFFFF"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A: Noise (plant, tools, machinery)</w:t>
            </w:r>
          </w:p>
        </w:tc>
        <w:tc>
          <w:tcPr>
            <w:tcW w:type="dxa" w:w="500"/>
            <w:shd w:fill="FFFFFF"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4</w:t>
            </w:r>
          </w:p>
        </w:tc>
        <w:tc>
          <w:tcPr>
            <w:tcW w:type="dxa" w:w="500"/>
            <w:shd w:fill="FFFFFF"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3</w:t>
            </w:r>
          </w:p>
        </w:tc>
        <w:tc>
          <w:tcPr>
            <w:tcW w:type="dxa" w:w="1500"/>
            <w:shd w:fill="FFFFFF"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Moderate</w:t>
            </w:r>
          </w:p>
        </w:tc>
        <w:tc>
          <w:tcPr>
            <w:tcW w:type="dxa" w:w="1300"/>
            <w:shd w:fill="FFFFFF"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partial</w:t>
            </w:r>
          </w:p>
        </w:tc>
        <w:tc>
          <w:tcPr>
            <w:tcW w:type="dxa" w:w="1322"/>
            <w:shd w:fill="FFFFFF"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high</w:t>
            </w:r>
          </w:p>
        </w:tc>
      </w:tr>
      <w:tr>
        <w:tc>
          <w:tcPr>
            <w:tcW w:type="dxa" w:w="1850"/>
            <w:shd w:fill="F2F2F2"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General Labourer</w:t>
            </w:r>
          </w:p>
        </w:tc>
        <w:tc>
          <w:tcPr>
            <w:tcW w:type="dxa" w:w="2100"/>
            <w:shd w:fill="F2F2F2"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B: Dust, respirable crystalline silica</w:t>
            </w:r>
          </w:p>
        </w:tc>
        <w:tc>
          <w:tcPr>
            <w:tcW w:type="dxa" w:w="500"/>
            <w:shd w:fill="F2F2F2"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4</w:t>
            </w:r>
          </w:p>
        </w:tc>
        <w:tc>
          <w:tcPr>
            <w:tcW w:type="dxa" w:w="500"/>
            <w:shd w:fill="F2F2F2"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4</w:t>
            </w:r>
          </w:p>
        </w:tc>
        <w:tc>
          <w:tcPr>
            <w:tcW w:type="dxa" w:w="1500"/>
            <w:shd w:fill="F2F2F2"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Moderate</w:t>
            </w:r>
          </w:p>
        </w:tc>
        <w:tc>
          <w:tcPr>
            <w:tcW w:type="dxa" w:w="1300"/>
            <w:shd w:fill="F2F2F2"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partial</w:t>
            </w:r>
          </w:p>
        </w:tc>
        <w:tc>
          <w:tcPr>
            <w:tcW w:type="dxa" w:w="1322"/>
            <w:shd w:fill="F2F2F2"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critical</w:t>
            </w:r>
          </w:p>
        </w:tc>
      </w:tr>
      <w:tr>
        <w:tc>
          <w:tcPr>
            <w:tcW w:type="dxa" w:w="1850"/>
            <w:shd w:fill="FFFFFF"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General Labourer</w:t>
            </w:r>
          </w:p>
        </w:tc>
        <w:tc>
          <w:tcPr>
            <w:tcW w:type="dxa" w:w="2100"/>
            <w:shd w:fill="FFFFFF"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I: Manual handling and ergonomic strain</w:t>
            </w:r>
          </w:p>
        </w:tc>
        <w:tc>
          <w:tcPr>
            <w:tcW w:type="dxa" w:w="500"/>
            <w:shd w:fill="FFFFFF"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3</w:t>
            </w:r>
          </w:p>
        </w:tc>
        <w:tc>
          <w:tcPr>
            <w:tcW w:type="dxa" w:w="500"/>
            <w:shd w:fill="FFFFFF"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2</w:t>
            </w:r>
          </w:p>
        </w:tc>
        <w:tc>
          <w:tcPr>
            <w:tcW w:type="dxa" w:w="1500"/>
            <w:shd w:fill="FFFFFF"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Moderate</w:t>
            </w:r>
          </w:p>
        </w:tc>
        <w:tc>
          <w:tcPr>
            <w:tcW w:type="dxa" w:w="1300"/>
            <w:shd w:fill="FFFFFF"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unknown</w:t>
            </w:r>
          </w:p>
        </w:tc>
        <w:tc>
          <w:tcPr>
            <w:tcW w:type="dxa" w:w="1322"/>
            <w:shd w:fill="FFFFFF"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moderate</w:t>
            </w:r>
          </w:p>
        </w:tc>
      </w:tr>
      <w:tr>
        <w:tc>
          <w:tcPr>
            <w:tcW w:type="dxa" w:w="1850"/>
            <w:shd w:fill="F2F2F2"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General Labourer</w:t>
            </w:r>
          </w:p>
        </w:tc>
        <w:tc>
          <w:tcPr>
            <w:tcW w:type="dxa" w:w="2100"/>
            <w:shd w:fill="F2F2F2"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H: Heat and thermal stress</w:t>
            </w:r>
          </w:p>
        </w:tc>
        <w:tc>
          <w:tcPr>
            <w:tcW w:type="dxa" w:w="500"/>
            <w:shd w:fill="F2F2F2"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3</w:t>
            </w:r>
          </w:p>
        </w:tc>
        <w:tc>
          <w:tcPr>
            <w:tcW w:type="dxa" w:w="500"/>
            <w:shd w:fill="F2F2F2"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2</w:t>
            </w:r>
          </w:p>
        </w:tc>
        <w:tc>
          <w:tcPr>
            <w:tcW w:type="dxa" w:w="1500"/>
            <w:shd w:fill="F2F2F2"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Moderate</w:t>
            </w:r>
          </w:p>
        </w:tc>
        <w:tc>
          <w:tcPr>
            <w:tcW w:type="dxa" w:w="1300"/>
            <w:shd w:fill="F2F2F2"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unknown</w:t>
            </w:r>
          </w:p>
        </w:tc>
        <w:tc>
          <w:tcPr>
            <w:tcW w:type="dxa" w:w="1322"/>
            <w:shd w:fill="F2F2F2"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moderate</w:t>
            </w:r>
          </w:p>
        </w:tc>
      </w:tr>
      <w:tr>
        <w:tc>
          <w:tcPr>
            <w:tcW w:type="dxa" w:w="1850"/>
            <w:shd w:fill="FFFFFF"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Scaffolder / Heights Worker</w:t>
            </w:r>
          </w:p>
        </w:tc>
        <w:tc>
          <w:tcPr>
            <w:tcW w:type="dxa" w:w="2100"/>
            <w:shd w:fill="FFFFFF"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E: Working at height (above 1.5m)</w:t>
            </w:r>
          </w:p>
        </w:tc>
        <w:tc>
          <w:tcPr>
            <w:tcW w:type="dxa" w:w="500"/>
            <w:shd w:fill="FFFFFF"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4</w:t>
            </w:r>
          </w:p>
        </w:tc>
        <w:tc>
          <w:tcPr>
            <w:tcW w:type="dxa" w:w="500"/>
            <w:shd w:fill="FFFFFF"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4</w:t>
            </w:r>
          </w:p>
        </w:tc>
        <w:tc>
          <w:tcPr>
            <w:tcW w:type="dxa" w:w="1500"/>
            <w:shd w:fill="FFFFFF"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High</w:t>
            </w:r>
          </w:p>
        </w:tc>
        <w:tc>
          <w:tcPr>
            <w:tcW w:type="dxa" w:w="1300"/>
            <w:shd w:fill="FFFFFF"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unknown</w:t>
            </w:r>
          </w:p>
        </w:tc>
        <w:tc>
          <w:tcPr>
            <w:tcW w:type="dxa" w:w="1322"/>
            <w:shd w:fill="FFFFFF"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critical</w:t>
            </w:r>
          </w:p>
        </w:tc>
      </w:tr>
      <w:tr>
        <w:tc>
          <w:tcPr>
            <w:tcW w:type="dxa" w:w="1850"/>
            <w:shd w:fill="F2F2F2"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Scaffolder / Heights Worker</w:t>
            </w:r>
          </w:p>
        </w:tc>
        <w:tc>
          <w:tcPr>
            <w:tcW w:type="dxa" w:w="2100"/>
            <w:shd w:fill="F2F2F2"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G: Vibration, hand arm and whole body</w:t>
            </w:r>
          </w:p>
        </w:tc>
        <w:tc>
          <w:tcPr>
            <w:tcW w:type="dxa" w:w="500"/>
            <w:shd w:fill="F2F2F2"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3</w:t>
            </w:r>
          </w:p>
        </w:tc>
        <w:tc>
          <w:tcPr>
            <w:tcW w:type="dxa" w:w="500"/>
            <w:shd w:fill="F2F2F2"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3</w:t>
            </w:r>
          </w:p>
        </w:tc>
        <w:tc>
          <w:tcPr>
            <w:tcW w:type="dxa" w:w="1500"/>
            <w:shd w:fill="F2F2F2"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Moderate</w:t>
            </w:r>
          </w:p>
        </w:tc>
        <w:tc>
          <w:tcPr>
            <w:tcW w:type="dxa" w:w="1300"/>
            <w:shd w:fill="F2F2F2"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unknown</w:t>
            </w:r>
          </w:p>
        </w:tc>
        <w:tc>
          <w:tcPr>
            <w:tcW w:type="dxa" w:w="1322"/>
            <w:shd w:fill="F2F2F2"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high</w:t>
            </w:r>
          </w:p>
        </w:tc>
      </w:tr>
      <w:tr>
        <w:tc>
          <w:tcPr>
            <w:tcW w:type="dxa" w:w="1850"/>
            <w:shd w:fill="FFFFFF"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Scaffolder / Heights Worker</w:t>
            </w:r>
          </w:p>
        </w:tc>
        <w:tc>
          <w:tcPr>
            <w:tcW w:type="dxa" w:w="2100"/>
            <w:shd w:fill="FFFFFF"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A: Noise (plant, tools, machinery)</w:t>
            </w:r>
          </w:p>
        </w:tc>
        <w:tc>
          <w:tcPr>
            <w:tcW w:type="dxa" w:w="500"/>
            <w:shd w:fill="FFFFFF"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4</w:t>
            </w:r>
          </w:p>
        </w:tc>
        <w:tc>
          <w:tcPr>
            <w:tcW w:type="dxa" w:w="500"/>
            <w:shd w:fill="FFFFFF"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3</w:t>
            </w:r>
          </w:p>
        </w:tc>
        <w:tc>
          <w:tcPr>
            <w:tcW w:type="dxa" w:w="1500"/>
            <w:shd w:fill="FFFFFF"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Moderate</w:t>
            </w:r>
          </w:p>
        </w:tc>
        <w:tc>
          <w:tcPr>
            <w:tcW w:type="dxa" w:w="1300"/>
            <w:shd w:fill="FFFFFF"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unknown</w:t>
            </w:r>
          </w:p>
        </w:tc>
        <w:tc>
          <w:tcPr>
            <w:tcW w:type="dxa" w:w="1322"/>
            <w:shd w:fill="FFFFFF"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high</w:t>
            </w:r>
          </w:p>
        </w:tc>
      </w:tr>
      <w:tr>
        <w:tc>
          <w:tcPr>
            <w:tcW w:type="dxa" w:w="1850"/>
            <w:shd w:fill="F2F2F2"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Plant Operator</w:t>
            </w:r>
          </w:p>
        </w:tc>
        <w:tc>
          <w:tcPr>
            <w:tcW w:type="dxa" w:w="2100"/>
            <w:shd w:fill="F2F2F2"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G: Vibration, hand arm and whole body</w:t>
            </w:r>
          </w:p>
        </w:tc>
        <w:tc>
          <w:tcPr>
            <w:tcW w:type="dxa" w:w="500"/>
            <w:shd w:fill="F2F2F2"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4</w:t>
            </w:r>
          </w:p>
        </w:tc>
        <w:tc>
          <w:tcPr>
            <w:tcW w:type="dxa" w:w="500"/>
            <w:shd w:fill="F2F2F2"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3</w:t>
            </w:r>
          </w:p>
        </w:tc>
        <w:tc>
          <w:tcPr>
            <w:tcW w:type="dxa" w:w="1500"/>
            <w:shd w:fill="F2F2F2"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Moderate to High</w:t>
            </w:r>
          </w:p>
        </w:tc>
        <w:tc>
          <w:tcPr>
            <w:tcW w:type="dxa" w:w="1300"/>
            <w:shd w:fill="F2F2F2"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unknown</w:t>
            </w:r>
          </w:p>
        </w:tc>
        <w:tc>
          <w:tcPr>
            <w:tcW w:type="dxa" w:w="1322"/>
            <w:shd w:fill="F2F2F2"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high</w:t>
            </w:r>
          </w:p>
        </w:tc>
      </w:tr>
      <w:tr>
        <w:tc>
          <w:tcPr>
            <w:tcW w:type="dxa" w:w="1850"/>
            <w:shd w:fill="FFFFFF"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Plant Operator</w:t>
            </w:r>
          </w:p>
        </w:tc>
        <w:tc>
          <w:tcPr>
            <w:tcW w:type="dxa" w:w="2100"/>
            <w:shd w:fill="FFFFFF"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A: Noise (plant, tools, machinery)</w:t>
            </w:r>
          </w:p>
        </w:tc>
        <w:tc>
          <w:tcPr>
            <w:tcW w:type="dxa" w:w="500"/>
            <w:shd w:fill="FFFFFF"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5</w:t>
            </w:r>
          </w:p>
        </w:tc>
        <w:tc>
          <w:tcPr>
            <w:tcW w:type="dxa" w:w="500"/>
            <w:shd w:fill="FFFFFF"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3</w:t>
            </w:r>
          </w:p>
        </w:tc>
        <w:tc>
          <w:tcPr>
            <w:tcW w:type="dxa" w:w="1500"/>
            <w:shd w:fill="FFFFFF"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High</w:t>
            </w:r>
          </w:p>
        </w:tc>
        <w:tc>
          <w:tcPr>
            <w:tcW w:type="dxa" w:w="1300"/>
            <w:shd w:fill="FFFFFF"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unknown</w:t>
            </w:r>
          </w:p>
        </w:tc>
        <w:tc>
          <w:tcPr>
            <w:tcW w:type="dxa" w:w="1322"/>
            <w:shd w:fill="FFFFFF"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critical</w:t>
            </w:r>
          </w:p>
        </w:tc>
      </w:tr>
      <w:tr>
        <w:tc>
          <w:tcPr>
            <w:tcW w:type="dxa" w:w="1850"/>
            <w:shd w:fill="F2F2F2"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Plant Operator</w:t>
            </w:r>
          </w:p>
        </w:tc>
        <w:tc>
          <w:tcPr>
            <w:tcW w:type="dxa" w:w="2100"/>
            <w:shd w:fill="F2F2F2"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C: Hazardous chemicals (agent specific)</w:t>
            </w:r>
          </w:p>
        </w:tc>
        <w:tc>
          <w:tcPr>
            <w:tcW w:type="dxa" w:w="500"/>
            <w:shd w:fill="F2F2F2"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4</w:t>
            </w:r>
          </w:p>
        </w:tc>
        <w:tc>
          <w:tcPr>
            <w:tcW w:type="dxa" w:w="500"/>
            <w:shd w:fill="F2F2F2"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4</w:t>
            </w:r>
          </w:p>
        </w:tc>
        <w:tc>
          <w:tcPr>
            <w:tcW w:type="dxa" w:w="1500"/>
            <w:shd w:fill="F2F2F2"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Moderate</w:t>
            </w:r>
          </w:p>
        </w:tc>
        <w:tc>
          <w:tcPr>
            <w:tcW w:type="dxa" w:w="1300"/>
            <w:shd w:fill="F2F2F2"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unknown</w:t>
            </w:r>
          </w:p>
        </w:tc>
        <w:tc>
          <w:tcPr>
            <w:tcW w:type="dxa" w:w="1322"/>
            <w:shd w:fill="F2F2F2"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critical</w:t>
            </w:r>
          </w:p>
        </w:tc>
      </w:tr>
      <w:tr>
        <w:tc>
          <w:tcPr>
            <w:tcW w:type="dxa" w:w="1850"/>
            <w:shd w:fill="FFFFFF"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Plant Operator</w:t>
            </w:r>
          </w:p>
        </w:tc>
        <w:tc>
          <w:tcPr>
            <w:tcW w:type="dxa" w:w="2100"/>
            <w:shd w:fill="FFFFFF"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I: Manual handling and ergonomic strain</w:t>
            </w:r>
          </w:p>
        </w:tc>
        <w:tc>
          <w:tcPr>
            <w:tcW w:type="dxa" w:w="500"/>
            <w:shd w:fill="FFFFFF"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3</w:t>
            </w:r>
          </w:p>
        </w:tc>
        <w:tc>
          <w:tcPr>
            <w:tcW w:type="dxa" w:w="500"/>
            <w:shd w:fill="FFFFFF"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2</w:t>
            </w:r>
          </w:p>
        </w:tc>
        <w:tc>
          <w:tcPr>
            <w:tcW w:type="dxa" w:w="1500"/>
            <w:shd w:fill="FFFFFF"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Moderate</w:t>
            </w:r>
          </w:p>
        </w:tc>
        <w:tc>
          <w:tcPr>
            <w:tcW w:type="dxa" w:w="1300"/>
            <w:shd w:fill="FFFFFF"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unknown</w:t>
            </w:r>
          </w:p>
        </w:tc>
        <w:tc>
          <w:tcPr>
            <w:tcW w:type="dxa" w:w="1322"/>
            <w:shd w:fill="FFFFFF"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moderate</w:t>
            </w:r>
          </w:p>
        </w:tc>
      </w:tr>
      <w:tr>
        <w:tc>
          <w:tcPr>
            <w:tcW w:type="dxa" w:w="1850"/>
            <w:shd w:fill="F2F2F2"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Welder / Steel Fabricator</w:t>
            </w:r>
          </w:p>
        </w:tc>
        <w:tc>
          <w:tcPr>
            <w:tcW w:type="dxa" w:w="2100"/>
            <w:shd w:fill="F2F2F2"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C: Hazardous chemicals (agent specific)</w:t>
            </w:r>
          </w:p>
        </w:tc>
        <w:tc>
          <w:tcPr>
            <w:tcW w:type="dxa" w:w="500"/>
            <w:shd w:fill="F2F2F2"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5</w:t>
            </w:r>
          </w:p>
        </w:tc>
        <w:tc>
          <w:tcPr>
            <w:tcW w:type="dxa" w:w="500"/>
            <w:shd w:fill="F2F2F2"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4</w:t>
            </w:r>
          </w:p>
        </w:tc>
        <w:tc>
          <w:tcPr>
            <w:tcW w:type="dxa" w:w="1500"/>
            <w:shd w:fill="F2F2F2"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High</w:t>
            </w:r>
          </w:p>
        </w:tc>
        <w:tc>
          <w:tcPr>
            <w:tcW w:type="dxa" w:w="1300"/>
            <w:shd w:fill="F2F2F2"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adequate</w:t>
            </w:r>
          </w:p>
        </w:tc>
        <w:tc>
          <w:tcPr>
            <w:tcW w:type="dxa" w:w="1322"/>
            <w:shd w:fill="F2F2F2"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critical</w:t>
            </w:r>
          </w:p>
        </w:tc>
      </w:tr>
      <w:tr>
        <w:tc>
          <w:tcPr>
            <w:tcW w:type="dxa" w:w="1850"/>
            <w:shd w:fill="FFFFFF"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Welder / Steel Fabricator</w:t>
            </w:r>
          </w:p>
        </w:tc>
        <w:tc>
          <w:tcPr>
            <w:tcW w:type="dxa" w:w="2100"/>
            <w:shd w:fill="FFFFFF"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L: Ionising or non ionising radiation</w:t>
            </w:r>
          </w:p>
        </w:tc>
        <w:tc>
          <w:tcPr>
            <w:tcW w:type="dxa" w:w="500"/>
            <w:shd w:fill="FFFFFF"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3</w:t>
            </w:r>
          </w:p>
        </w:tc>
        <w:tc>
          <w:tcPr>
            <w:tcW w:type="dxa" w:w="500"/>
            <w:shd w:fill="FFFFFF"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4</w:t>
            </w:r>
          </w:p>
        </w:tc>
        <w:tc>
          <w:tcPr>
            <w:tcW w:type="dxa" w:w="1500"/>
            <w:shd w:fill="FFFFFF"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Moderate</w:t>
            </w:r>
          </w:p>
        </w:tc>
        <w:tc>
          <w:tcPr>
            <w:tcW w:type="dxa" w:w="1300"/>
            <w:shd w:fill="FFFFFF"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unknown</w:t>
            </w:r>
          </w:p>
        </w:tc>
        <w:tc>
          <w:tcPr>
            <w:tcW w:type="dxa" w:w="1322"/>
            <w:shd w:fill="FFFFFF"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high</w:t>
            </w:r>
          </w:p>
        </w:tc>
      </w:tr>
      <w:tr>
        <w:tc>
          <w:tcPr>
            <w:tcW w:type="dxa" w:w="1850"/>
            <w:shd w:fill="F2F2F2"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Welder / Steel Fabricator</w:t>
            </w:r>
          </w:p>
        </w:tc>
        <w:tc>
          <w:tcPr>
            <w:tcW w:type="dxa" w:w="2100"/>
            <w:shd w:fill="F2F2F2"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A: Noise (plant, tools, machinery)</w:t>
            </w:r>
          </w:p>
        </w:tc>
        <w:tc>
          <w:tcPr>
            <w:tcW w:type="dxa" w:w="500"/>
            <w:shd w:fill="F2F2F2"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5</w:t>
            </w:r>
          </w:p>
        </w:tc>
        <w:tc>
          <w:tcPr>
            <w:tcW w:type="dxa" w:w="500"/>
            <w:shd w:fill="F2F2F2"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3</w:t>
            </w:r>
          </w:p>
        </w:tc>
        <w:tc>
          <w:tcPr>
            <w:tcW w:type="dxa" w:w="1500"/>
            <w:shd w:fill="F2F2F2"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Moderate to High</w:t>
            </w:r>
          </w:p>
        </w:tc>
        <w:tc>
          <w:tcPr>
            <w:tcW w:type="dxa" w:w="1300"/>
            <w:shd w:fill="F2F2F2"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adequate</w:t>
            </w:r>
          </w:p>
        </w:tc>
        <w:tc>
          <w:tcPr>
            <w:tcW w:type="dxa" w:w="1322"/>
            <w:shd w:fill="F2F2F2"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high</w:t>
            </w:r>
          </w:p>
        </w:tc>
      </w:tr>
      <w:tr>
        <w:tc>
          <w:tcPr>
            <w:tcW w:type="dxa" w:w="1850"/>
            <w:shd w:fill="FFFFFF"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Concrete and Cement Worker</w:t>
            </w:r>
          </w:p>
        </w:tc>
        <w:tc>
          <w:tcPr>
            <w:tcW w:type="dxa" w:w="2100"/>
            <w:shd w:fill="FFFFFF"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B: Dust, respirable crystalline silica</w:t>
            </w:r>
          </w:p>
        </w:tc>
        <w:tc>
          <w:tcPr>
            <w:tcW w:type="dxa" w:w="500"/>
            <w:shd w:fill="FFFFFF"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5</w:t>
            </w:r>
          </w:p>
        </w:tc>
        <w:tc>
          <w:tcPr>
            <w:tcW w:type="dxa" w:w="500"/>
            <w:shd w:fill="FFFFFF"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4</w:t>
            </w:r>
          </w:p>
        </w:tc>
        <w:tc>
          <w:tcPr>
            <w:tcW w:type="dxa" w:w="1500"/>
            <w:shd w:fill="FFFFFF"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High</w:t>
            </w:r>
          </w:p>
        </w:tc>
        <w:tc>
          <w:tcPr>
            <w:tcW w:type="dxa" w:w="1300"/>
            <w:shd w:fill="FFFFFF"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partial</w:t>
            </w:r>
          </w:p>
        </w:tc>
        <w:tc>
          <w:tcPr>
            <w:tcW w:type="dxa" w:w="1322"/>
            <w:shd w:fill="FFFFFF"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critical</w:t>
            </w:r>
          </w:p>
        </w:tc>
      </w:tr>
      <w:tr>
        <w:tc>
          <w:tcPr>
            <w:tcW w:type="dxa" w:w="1850"/>
            <w:shd w:fill="F2F2F2"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Concrete and Cement Worker</w:t>
            </w:r>
          </w:p>
        </w:tc>
        <w:tc>
          <w:tcPr>
            <w:tcW w:type="dxa" w:w="2100"/>
            <w:shd w:fill="F2F2F2"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C: Hazardous chemicals (agent specific)</w:t>
            </w:r>
          </w:p>
        </w:tc>
        <w:tc>
          <w:tcPr>
            <w:tcW w:type="dxa" w:w="500"/>
            <w:shd w:fill="F2F2F2"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4</w:t>
            </w:r>
          </w:p>
        </w:tc>
        <w:tc>
          <w:tcPr>
            <w:tcW w:type="dxa" w:w="500"/>
            <w:shd w:fill="F2F2F2"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4</w:t>
            </w:r>
          </w:p>
        </w:tc>
        <w:tc>
          <w:tcPr>
            <w:tcW w:type="dxa" w:w="1500"/>
            <w:shd w:fill="F2F2F2"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Moderate</w:t>
            </w:r>
          </w:p>
        </w:tc>
        <w:tc>
          <w:tcPr>
            <w:tcW w:type="dxa" w:w="1300"/>
            <w:shd w:fill="F2F2F2"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partial</w:t>
            </w:r>
          </w:p>
        </w:tc>
        <w:tc>
          <w:tcPr>
            <w:tcW w:type="dxa" w:w="1322"/>
            <w:shd w:fill="F2F2F2"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critical</w:t>
            </w:r>
          </w:p>
        </w:tc>
      </w:tr>
      <w:tr>
        <w:tc>
          <w:tcPr>
            <w:tcW w:type="dxa" w:w="1850"/>
            <w:shd w:fill="FFFFFF"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Concrete and Cement Worker</w:t>
            </w:r>
          </w:p>
        </w:tc>
        <w:tc>
          <w:tcPr>
            <w:tcW w:type="dxa" w:w="2100"/>
            <w:shd w:fill="FFFFFF"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I: Manual handling and ergonomic strain</w:t>
            </w:r>
          </w:p>
        </w:tc>
        <w:tc>
          <w:tcPr>
            <w:tcW w:type="dxa" w:w="500"/>
            <w:shd w:fill="FFFFFF"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3</w:t>
            </w:r>
          </w:p>
        </w:tc>
        <w:tc>
          <w:tcPr>
            <w:tcW w:type="dxa" w:w="500"/>
            <w:shd w:fill="FFFFFF"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2</w:t>
            </w:r>
          </w:p>
        </w:tc>
        <w:tc>
          <w:tcPr>
            <w:tcW w:type="dxa" w:w="1500"/>
            <w:shd w:fill="FFFFFF"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Moderate</w:t>
            </w:r>
          </w:p>
        </w:tc>
        <w:tc>
          <w:tcPr>
            <w:tcW w:type="dxa" w:w="1300"/>
            <w:shd w:fill="FFFFFF"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unknown</w:t>
            </w:r>
          </w:p>
        </w:tc>
        <w:tc>
          <w:tcPr>
            <w:tcW w:type="dxa" w:w="1322"/>
            <w:shd w:fill="FFFFFF"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moderate</w:t>
            </w:r>
          </w:p>
        </w:tc>
      </w:tr>
      <w:tr>
        <w:tc>
          <w:tcPr>
            <w:tcW w:type="dxa" w:w="1850"/>
            <w:shd w:fill="F2F2F2"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Driver / Plant and Materials Transport</w:t>
            </w:r>
          </w:p>
        </w:tc>
        <w:tc>
          <w:tcPr>
            <w:tcW w:type="dxa" w:w="2100"/>
            <w:shd w:fill="F2F2F2"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J: Driving (licence and PrDP class per notes)</w:t>
            </w:r>
          </w:p>
        </w:tc>
        <w:tc>
          <w:tcPr>
            <w:tcW w:type="dxa" w:w="500"/>
            <w:shd w:fill="F2F2F2"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3</w:t>
            </w:r>
          </w:p>
        </w:tc>
        <w:tc>
          <w:tcPr>
            <w:tcW w:type="dxa" w:w="500"/>
            <w:shd w:fill="F2F2F2"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3</w:t>
            </w:r>
          </w:p>
        </w:tc>
        <w:tc>
          <w:tcPr>
            <w:tcW w:type="dxa" w:w="1500"/>
            <w:shd w:fill="F2F2F2"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Moderate</w:t>
            </w:r>
          </w:p>
        </w:tc>
        <w:tc>
          <w:tcPr>
            <w:tcW w:type="dxa" w:w="1300"/>
            <w:shd w:fill="F2F2F2"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unknown</w:t>
            </w:r>
          </w:p>
        </w:tc>
        <w:tc>
          <w:tcPr>
            <w:tcW w:type="dxa" w:w="1322"/>
            <w:shd w:fill="F2F2F2"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high</w:t>
            </w:r>
          </w:p>
        </w:tc>
      </w:tr>
      <w:tr>
        <w:tc>
          <w:tcPr>
            <w:tcW w:type="dxa" w:w="1850"/>
            <w:shd w:fill="FFFFFF"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Driver / Plant and Materials Transport</w:t>
            </w:r>
          </w:p>
        </w:tc>
        <w:tc>
          <w:tcPr>
            <w:tcW w:type="dxa" w:w="2100"/>
            <w:shd w:fill="FFFFFF"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G: Vibration, hand arm and whole body</w:t>
            </w:r>
          </w:p>
        </w:tc>
        <w:tc>
          <w:tcPr>
            <w:tcW w:type="dxa" w:w="500"/>
            <w:shd w:fill="FFFFFF"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3</w:t>
            </w:r>
          </w:p>
        </w:tc>
        <w:tc>
          <w:tcPr>
            <w:tcW w:type="dxa" w:w="500"/>
            <w:shd w:fill="FFFFFF"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3</w:t>
            </w:r>
          </w:p>
        </w:tc>
        <w:tc>
          <w:tcPr>
            <w:tcW w:type="dxa" w:w="1500"/>
            <w:shd w:fill="FFFFFF"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Moderate</w:t>
            </w:r>
          </w:p>
        </w:tc>
        <w:tc>
          <w:tcPr>
            <w:tcW w:type="dxa" w:w="1300"/>
            <w:shd w:fill="FFFFFF"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unknown</w:t>
            </w:r>
          </w:p>
        </w:tc>
        <w:tc>
          <w:tcPr>
            <w:tcW w:type="dxa" w:w="1322"/>
            <w:shd w:fill="FFFFFF"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high</w:t>
            </w:r>
          </w:p>
        </w:tc>
      </w:tr>
      <w:tr>
        <w:tc>
          <w:tcPr>
            <w:tcW w:type="dxa" w:w="1850"/>
            <w:shd w:fill="F2F2F2"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Driver / Plant and Materials Transport</w:t>
            </w:r>
          </w:p>
        </w:tc>
        <w:tc>
          <w:tcPr>
            <w:tcW w:type="dxa" w:w="2100"/>
            <w:shd w:fill="F2F2F2"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I: Manual handling and ergonomic strain</w:t>
            </w:r>
          </w:p>
        </w:tc>
        <w:tc>
          <w:tcPr>
            <w:tcW w:type="dxa" w:w="500"/>
            <w:shd w:fill="F2F2F2"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3</w:t>
            </w:r>
          </w:p>
        </w:tc>
        <w:tc>
          <w:tcPr>
            <w:tcW w:type="dxa" w:w="500"/>
            <w:shd w:fill="F2F2F2"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2</w:t>
            </w:r>
          </w:p>
        </w:tc>
        <w:tc>
          <w:tcPr>
            <w:tcW w:type="dxa" w:w="1500"/>
            <w:shd w:fill="F2F2F2"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Moderate</w:t>
            </w:r>
          </w:p>
        </w:tc>
        <w:tc>
          <w:tcPr>
            <w:tcW w:type="dxa" w:w="1300"/>
            <w:shd w:fill="F2F2F2"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unknown</w:t>
            </w:r>
          </w:p>
        </w:tc>
        <w:tc>
          <w:tcPr>
            <w:tcW w:type="dxa" w:w="1322"/>
            <w:shd w:fill="F2F2F2"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moderate</w:t>
            </w:r>
          </w:p>
        </w:tc>
      </w:tr>
    </w:tbl>
    <w:p>
      <w:pPr>
        <w:spacing w:after="100" w:line="300" w:lineRule="auto"/>
      </w:pPr>
      <w:r>
        <w:rPr>
          <w:rFonts w:ascii="Arial" w:cs="Arial" w:eastAsia="Arial" w:hAnsi="Arial"/>
          <w:b w:val="false"/>
          <w:bCs w:val="false"/>
          <w:i w:val="false"/>
          <w:iCs w:val="false"/>
          <w:color w:val="1A1A1A"/>
          <w:sz w:val="20"/>
          <w:szCs w:val="20"/>
        </w:rPr>
        <w:t xml:space="preserve"/>
      </w:r>
    </w:p>
    <w:tbl>
      <w:tblPr>
        <w:tblW w:type="dxa" w:w="9072"/>
        <w:tblBorders>
          <w:top w:val="single" w:color="1A1A1A" w:sz="4"/>
          <w:left w:val="single" w:color="BBBBBB" w:sz="2"/>
          <w:bottom w:val="single" w:color="1A1A1A" w:sz="4"/>
          <w:right w:val="single" w:color="BBBBBB" w:sz="2"/>
          <w:insideH w:val="single" w:color="CCCCCC" w:sz="2"/>
          <w:insideV w:val="single" w:color="CCCCCC" w:sz="2"/>
        </w:tblBorders>
      </w:tblPr>
      <w:tblGrid>
        <w:gridCol w:w="1850"/>
        <w:gridCol w:w="2500"/>
        <w:gridCol w:w="2500"/>
        <w:gridCol w:w="2222"/>
      </w:tblGrid>
      <w:tr>
        <w:trPr>
          <w:tblHeader/>
        </w:trPr>
        <w:tc>
          <w:tcPr>
            <w:tcW w:type="dxa" w:w="1850"/>
            <w:shd w:fill="1A1A1A" w:val="clear"/>
            <w:tcMar>
              <w:top w:type="dxa" w:w="60"/>
              <w:left w:type="dxa" w:w="80"/>
              <w:bottom w:type="dxa" w:w="60"/>
              <w:right w:type="dxa" w:w="80"/>
            </w:tcMar>
            <w:vAlign w:val="top"/>
          </w:tcPr>
          <w:p>
            <w:r>
              <w:rPr>
                <w:rFonts w:ascii="Arial" w:cs="Arial" w:eastAsia="Arial" w:hAnsi="Arial"/>
                <w:b/>
                <w:bCs/>
                <w:i w:val="false"/>
                <w:iCs w:val="false"/>
                <w:color w:val="FFFFFF"/>
                <w:sz w:val="17"/>
                <w:szCs w:val="17"/>
              </w:rPr>
              <w:t xml:space="preserve">Job title</w:t>
            </w:r>
          </w:p>
        </w:tc>
        <w:tc>
          <w:tcPr>
            <w:tcW w:type="dxa" w:w="2500"/>
            <w:shd w:fill="1A1A1A" w:val="clear"/>
            <w:tcMar>
              <w:top w:type="dxa" w:w="60"/>
              <w:left w:type="dxa" w:w="80"/>
              <w:bottom w:type="dxa" w:w="60"/>
              <w:right w:type="dxa" w:w="80"/>
            </w:tcMar>
            <w:vAlign w:val="top"/>
          </w:tcPr>
          <w:p>
            <w:r>
              <w:rPr>
                <w:rFonts w:ascii="Arial" w:cs="Arial" w:eastAsia="Arial" w:hAnsi="Arial"/>
                <w:b/>
                <w:bCs/>
                <w:i w:val="false"/>
                <w:iCs w:val="false"/>
                <w:color w:val="FFFFFF"/>
                <w:sz w:val="17"/>
                <w:szCs w:val="17"/>
              </w:rPr>
              <w:t xml:space="preserve">Physical demands</w:t>
            </w:r>
          </w:p>
        </w:tc>
        <w:tc>
          <w:tcPr>
            <w:tcW w:type="dxa" w:w="2500"/>
            <w:shd w:fill="1A1A1A" w:val="clear"/>
            <w:tcMar>
              <w:top w:type="dxa" w:w="60"/>
              <w:left w:type="dxa" w:w="80"/>
              <w:bottom w:type="dxa" w:w="60"/>
              <w:right w:type="dxa" w:w="80"/>
            </w:tcMar>
            <w:vAlign w:val="top"/>
          </w:tcPr>
          <w:p>
            <w:r>
              <w:rPr>
                <w:rFonts w:ascii="Arial" w:cs="Arial" w:eastAsia="Arial" w:hAnsi="Arial"/>
                <w:b/>
                <w:bCs/>
                <w:i w:val="false"/>
                <w:iCs w:val="false"/>
                <w:color w:val="FFFFFF"/>
                <w:sz w:val="17"/>
                <w:szCs w:val="17"/>
              </w:rPr>
              <w:t xml:space="preserve">Sensory and cognitive demands</w:t>
            </w:r>
          </w:p>
        </w:tc>
        <w:tc>
          <w:tcPr>
            <w:tcW w:type="dxa" w:w="2222"/>
            <w:shd w:fill="1A1A1A" w:val="clear"/>
            <w:tcMar>
              <w:top w:type="dxa" w:w="60"/>
              <w:left w:type="dxa" w:w="80"/>
              <w:bottom w:type="dxa" w:w="60"/>
              <w:right w:type="dxa" w:w="80"/>
            </w:tcMar>
            <w:vAlign w:val="top"/>
          </w:tcPr>
          <w:p>
            <w:r>
              <w:rPr>
                <w:rFonts w:ascii="Arial" w:cs="Arial" w:eastAsia="Arial" w:hAnsi="Arial"/>
                <w:b/>
                <w:bCs/>
                <w:i w:val="false"/>
                <w:iCs w:val="false"/>
                <w:color w:val="FFFFFF"/>
                <w:sz w:val="17"/>
                <w:szCs w:val="17"/>
              </w:rPr>
              <w:t xml:space="preserve">Statutory or competency requirement</w:t>
            </w:r>
          </w:p>
        </w:tc>
      </w:tr>
      <w:tr>
        <w:tc>
          <w:tcPr>
            <w:tcW w:type="dxa" w:w="1850"/>
            <w:shd w:fill="FFFFFF"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Site Manager / Supervisor</w:t>
            </w:r>
          </w:p>
        </w:tc>
        <w:tc>
          <w:tcPr>
            <w:tcW w:type="dxa" w:w="2500"/>
            <w:shd w:fill="FFFFFF"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Regular walking across uneven site terrain; occasional ladder access</w:t>
            </w:r>
          </w:p>
        </w:tc>
        <w:tc>
          <w:tcPr>
            <w:tcW w:type="dxa" w:w="2500"/>
            <w:shd w:fill="FFFFFF"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Sustained attention, verbal communication</w:t>
            </w:r>
          </w:p>
        </w:tc>
        <w:tc>
          <w:tcPr>
            <w:tcW w:type="dxa" w:w="2222"/>
            <w:shd w:fill="FFFFFF"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None beyond general induction</w:t>
            </w:r>
          </w:p>
        </w:tc>
      </w:tr>
      <w:tr>
        <w:tc>
          <w:tcPr>
            <w:tcW w:type="dxa" w:w="1850"/>
            <w:shd w:fill="F2F2F2"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General Labourer</w:t>
            </w:r>
          </w:p>
        </w:tc>
        <w:tc>
          <w:tcPr>
            <w:tcW w:type="dxa" w:w="2500"/>
            <w:shd w:fill="F2F2F2"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Frequent manual lifting up to 25kg, repetitive bending</w:t>
            </w:r>
          </w:p>
        </w:tc>
        <w:tc>
          <w:tcPr>
            <w:tcW w:type="dxa" w:w="2500"/>
            <w:shd w:fill="F2F2F2"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Basic instruction following</w:t>
            </w:r>
          </w:p>
        </w:tc>
        <w:tc>
          <w:tcPr>
            <w:tcW w:type="dxa" w:w="2222"/>
            <w:shd w:fill="F2F2F2"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None beyond general induction</w:t>
            </w:r>
          </w:p>
        </w:tc>
      </w:tr>
      <w:tr>
        <w:tc>
          <w:tcPr>
            <w:tcW w:type="dxa" w:w="1850"/>
            <w:shd w:fill="FFFFFF"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Scaffolder / Heights Worker</w:t>
            </w:r>
          </w:p>
        </w:tc>
        <w:tc>
          <w:tcPr>
            <w:tcW w:type="dxa" w:w="2500"/>
            <w:shd w:fill="FFFFFF"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Climbing, working from unprotected edges, carrying loads at height</w:t>
            </w:r>
          </w:p>
        </w:tc>
        <w:tc>
          <w:tcPr>
            <w:tcW w:type="dxa" w:w="2500"/>
            <w:shd w:fill="FFFFFF"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Spatial awareness, balance, no vertigo</w:t>
            </w:r>
          </w:p>
        </w:tc>
        <w:tc>
          <w:tcPr>
            <w:tcW w:type="dxa" w:w="2222"/>
            <w:shd w:fill="FFFFFF"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Working at heights competency certificate</w:t>
            </w:r>
          </w:p>
        </w:tc>
      </w:tr>
      <w:tr>
        <w:tc>
          <w:tcPr>
            <w:tcW w:type="dxa" w:w="1850"/>
            <w:shd w:fill="F2F2F2"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Plant Operator</w:t>
            </w:r>
          </w:p>
        </w:tc>
        <w:tc>
          <w:tcPr>
            <w:tcW w:type="dxa" w:w="2500"/>
            <w:shd w:fill="F2F2F2"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Prolonged sitting, foot and hand coordination under vibration</w:t>
            </w:r>
          </w:p>
        </w:tc>
        <w:tc>
          <w:tcPr>
            <w:tcW w:type="dxa" w:w="2500"/>
            <w:shd w:fill="F2F2F2"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Sustained visual attention, depth perception</w:t>
            </w:r>
          </w:p>
        </w:tc>
        <w:tc>
          <w:tcPr>
            <w:tcW w:type="dxa" w:w="2222"/>
            <w:shd w:fill="F2F2F2"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Plant operator certificate for the relevant class</w:t>
            </w:r>
          </w:p>
        </w:tc>
      </w:tr>
      <w:tr>
        <w:tc>
          <w:tcPr>
            <w:tcW w:type="dxa" w:w="1850"/>
            <w:shd w:fill="FFFFFF"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Welder / Steel Fabricator</w:t>
            </w:r>
          </w:p>
        </w:tc>
        <w:tc>
          <w:tcPr>
            <w:tcW w:type="dxa" w:w="2500"/>
            <w:shd w:fill="FFFFFF"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Sustained awkward postures, fine motor control</w:t>
            </w:r>
          </w:p>
        </w:tc>
        <w:tc>
          <w:tcPr>
            <w:tcW w:type="dxa" w:w="2500"/>
            <w:shd w:fill="FFFFFF"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Colour vision for weld inspection, sustained attention near arc and heat</w:t>
            </w:r>
          </w:p>
        </w:tc>
        <w:tc>
          <w:tcPr>
            <w:tcW w:type="dxa" w:w="2222"/>
            <w:shd w:fill="FFFFFF"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Trade certification as applicable</w:t>
            </w:r>
          </w:p>
        </w:tc>
      </w:tr>
      <w:tr>
        <w:tc>
          <w:tcPr>
            <w:tcW w:type="dxa" w:w="1850"/>
            <w:shd w:fill="F2F2F2"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Concrete and Cement Worker</w:t>
            </w:r>
          </w:p>
        </w:tc>
        <w:tc>
          <w:tcPr>
            <w:tcW w:type="dxa" w:w="2500"/>
            <w:shd w:fill="F2F2F2"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Frequent manual handling, kneeling, repetitive strain</w:t>
            </w:r>
          </w:p>
        </w:tc>
        <w:tc>
          <w:tcPr>
            <w:tcW w:type="dxa" w:w="2500"/>
            <w:shd w:fill="F2F2F2"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Basic instruction following</w:t>
            </w:r>
          </w:p>
        </w:tc>
        <w:tc>
          <w:tcPr>
            <w:tcW w:type="dxa" w:w="2222"/>
            <w:shd w:fill="F2F2F2"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None beyond general induction</w:t>
            </w:r>
          </w:p>
        </w:tc>
      </w:tr>
      <w:tr>
        <w:tc>
          <w:tcPr>
            <w:tcW w:type="dxa" w:w="1850"/>
            <w:shd w:fill="FFFFFF"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Driver / Plant and Materials Transport</w:t>
            </w:r>
          </w:p>
        </w:tc>
        <w:tc>
          <w:tcPr>
            <w:tcW w:type="dxa" w:w="2500"/>
            <w:shd w:fill="FFFFFF"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Prolonged sitting, reversing and manoeuvring in confined yards</w:t>
            </w:r>
          </w:p>
        </w:tc>
        <w:tc>
          <w:tcPr>
            <w:tcW w:type="dxa" w:w="2500"/>
            <w:shd w:fill="FFFFFF"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Sustained visual attention, reaction time, no uncontrolled hypoglycaemic risk</w:t>
            </w:r>
          </w:p>
        </w:tc>
        <w:tc>
          <w:tcPr>
            <w:tcW w:type="dxa" w:w="2222"/>
            <w:shd w:fill="FFFFFF"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PrDP</w:t>
            </w:r>
          </w:p>
        </w:tc>
      </w:tr>
    </w:tbl>
    <w:p>
      <w:pPr>
        <w:spacing w:after="100" w:line="300" w:lineRule="auto"/>
      </w:pPr>
      <w:r>
        <w:rPr>
          <w:rFonts w:ascii="Arial" w:cs="Arial" w:eastAsia="Arial" w:hAnsi="Arial"/>
          <w:b w:val="false"/>
          <w:bCs w:val="false"/>
          <w:i w:val="false"/>
          <w:iCs w:val="false"/>
          <w:color w:val="1A1A1A"/>
          <w:sz w:val="20"/>
          <w:szCs w:val="20"/>
        </w:rPr>
        <w:t xml:space="preserve"/>
      </w:r>
    </w:p>
    <w:tbl>
      <w:tblPr>
        <w:tblW w:type="dxa" w:w="9072"/>
        <w:tblBorders>
          <w:top w:val="single" w:color="1A1A1A" w:sz="4"/>
          <w:left w:val="single" w:color="BBBBBB" w:sz="2"/>
          <w:bottom w:val="single" w:color="1A1A1A" w:sz="4"/>
          <w:right w:val="single" w:color="BBBBBB" w:sz="2"/>
          <w:insideH w:val="single" w:color="CCCCCC" w:sz="2"/>
          <w:insideV w:val="single" w:color="CCCCCC" w:sz="2"/>
        </w:tblBorders>
      </w:tblPr>
      <w:tblGrid>
        <w:gridCol w:w="2100"/>
        <w:gridCol w:w="1300"/>
        <w:gridCol w:w="2100"/>
        <w:gridCol w:w="1300"/>
        <w:gridCol w:w="2272"/>
      </w:tblGrid>
      <w:tr>
        <w:trPr>
          <w:tblHeader/>
        </w:trPr>
        <w:tc>
          <w:tcPr>
            <w:tcW w:type="dxa" w:w="2100"/>
            <w:shd w:fill="1A1A1A" w:val="clear"/>
            <w:tcMar>
              <w:top w:type="dxa" w:w="60"/>
              <w:left w:type="dxa" w:w="80"/>
              <w:bottom w:type="dxa" w:w="60"/>
              <w:right w:type="dxa" w:w="80"/>
            </w:tcMar>
            <w:vAlign w:val="top"/>
          </w:tcPr>
          <w:p>
            <w:r>
              <w:rPr>
                <w:rFonts w:ascii="Arial" w:cs="Arial" w:eastAsia="Arial" w:hAnsi="Arial"/>
                <w:b/>
                <w:bCs/>
                <w:i w:val="false"/>
                <w:iCs w:val="false"/>
                <w:color w:val="FFFFFF"/>
                <w:sz w:val="17"/>
                <w:szCs w:val="17"/>
              </w:rPr>
              <w:t xml:space="preserve">Substance</w:t>
            </w:r>
          </w:p>
        </w:tc>
        <w:tc>
          <w:tcPr>
            <w:tcW w:type="dxa" w:w="1300"/>
            <w:shd w:fill="1A1A1A" w:val="clear"/>
            <w:tcMar>
              <w:top w:type="dxa" w:w="60"/>
              <w:left w:type="dxa" w:w="80"/>
              <w:bottom w:type="dxa" w:w="60"/>
              <w:right w:type="dxa" w:w="80"/>
            </w:tcMar>
            <w:vAlign w:val="top"/>
          </w:tcPr>
          <w:p>
            <w:r>
              <w:rPr>
                <w:rFonts w:ascii="Arial" w:cs="Arial" w:eastAsia="Arial" w:hAnsi="Arial"/>
                <w:b/>
                <w:bCs/>
                <w:i w:val="false"/>
                <w:iCs w:val="false"/>
                <w:color w:val="FFFFFF"/>
                <w:sz w:val="17"/>
                <w:szCs w:val="17"/>
              </w:rPr>
              <w:t xml:space="preserve">SDS reference</w:t>
            </w:r>
          </w:p>
        </w:tc>
        <w:tc>
          <w:tcPr>
            <w:tcW w:type="dxa" w:w="2100"/>
            <w:shd w:fill="1A1A1A" w:val="clear"/>
            <w:tcMar>
              <w:top w:type="dxa" w:w="60"/>
              <w:left w:type="dxa" w:w="80"/>
              <w:bottom w:type="dxa" w:w="60"/>
              <w:right w:type="dxa" w:w="80"/>
            </w:tcMar>
            <w:vAlign w:val="top"/>
          </w:tcPr>
          <w:p>
            <w:r>
              <w:rPr>
                <w:rFonts w:ascii="Arial" w:cs="Arial" w:eastAsia="Arial" w:hAnsi="Arial"/>
                <w:b/>
                <w:bCs/>
                <w:i w:val="false"/>
                <w:iCs w:val="false"/>
                <w:color w:val="FFFFFF"/>
                <w:sz w:val="17"/>
                <w:szCs w:val="17"/>
              </w:rPr>
              <w:t xml:space="preserve">Task or process</w:t>
            </w:r>
          </w:p>
        </w:tc>
        <w:tc>
          <w:tcPr>
            <w:tcW w:type="dxa" w:w="1300"/>
            <w:shd w:fill="1A1A1A" w:val="clear"/>
            <w:tcMar>
              <w:top w:type="dxa" w:w="60"/>
              <w:left w:type="dxa" w:w="80"/>
              <w:bottom w:type="dxa" w:w="60"/>
              <w:right w:type="dxa" w:w="80"/>
            </w:tcMar>
            <w:vAlign w:val="top"/>
          </w:tcPr>
          <w:p>
            <w:r>
              <w:rPr>
                <w:rFonts w:ascii="Arial" w:cs="Arial" w:eastAsia="Arial" w:hAnsi="Arial"/>
                <w:b/>
                <w:bCs/>
                <w:i w:val="false"/>
                <w:iCs w:val="false"/>
                <w:color w:val="FFFFFF"/>
                <w:sz w:val="17"/>
                <w:szCs w:val="17"/>
              </w:rPr>
              <w:t xml:space="preserve">Frequency</w:t>
            </w:r>
          </w:p>
        </w:tc>
        <w:tc>
          <w:tcPr>
            <w:tcW w:type="dxa" w:w="2272"/>
            <w:shd w:fill="1A1A1A" w:val="clear"/>
            <w:tcMar>
              <w:top w:type="dxa" w:w="60"/>
              <w:left w:type="dxa" w:w="80"/>
              <w:bottom w:type="dxa" w:w="60"/>
              <w:right w:type="dxa" w:w="80"/>
            </w:tcMar>
            <w:vAlign w:val="top"/>
          </w:tcPr>
          <w:p>
            <w:r>
              <w:rPr>
                <w:rFonts w:ascii="Arial" w:cs="Arial" w:eastAsia="Arial" w:hAnsi="Arial"/>
                <w:b/>
                <w:bCs/>
                <w:i w:val="false"/>
                <w:iCs w:val="false"/>
                <w:color w:val="FFFFFF"/>
                <w:sz w:val="17"/>
                <w:szCs w:val="17"/>
              </w:rPr>
              <w:t xml:space="preserve">Controls in place</w:t>
            </w:r>
          </w:p>
        </w:tc>
      </w:tr>
      <w:tr>
        <w:tc>
          <w:tcPr>
            <w:tcW w:type="dxa" w:w="2100"/>
            <w:shd w:fill="FFFFFF"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Diesel (plant fuel)</w:t>
            </w:r>
          </w:p>
        </w:tc>
        <w:tc>
          <w:tcPr>
            <w:tcW w:type="dxa" w:w="1300"/>
            <w:shd w:fill="FFFFFF"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SDS-DSL-01</w:t>
            </w:r>
          </w:p>
        </w:tc>
        <w:tc>
          <w:tcPr>
            <w:tcW w:type="dxa" w:w="2100"/>
            <w:shd w:fill="FFFFFF"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Refuelling of plant</w:t>
            </w:r>
          </w:p>
        </w:tc>
        <w:tc>
          <w:tcPr>
            <w:tcW w:type="dxa" w:w="1300"/>
            <w:shd w:fill="FFFFFF"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Daily</w:t>
            </w:r>
          </w:p>
        </w:tc>
        <w:tc>
          <w:tcPr>
            <w:tcW w:type="dxa" w:w="2272"/>
            <w:shd w:fill="FFFFFF"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Bunded storage, spill kit, gloves</w:t>
            </w:r>
          </w:p>
        </w:tc>
      </w:tr>
      <w:tr>
        <w:tc>
          <w:tcPr>
            <w:tcW w:type="dxa" w:w="2100"/>
            <w:shd w:fill="F2F2F2"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Welding consumables, manganese containing electrodes</w:t>
            </w:r>
          </w:p>
        </w:tc>
        <w:tc>
          <w:tcPr>
            <w:tcW w:type="dxa" w:w="1300"/>
            <w:shd w:fill="F2F2F2"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SDS-WLD-02</w:t>
            </w:r>
          </w:p>
        </w:tc>
        <w:tc>
          <w:tcPr>
            <w:tcW w:type="dxa" w:w="2100"/>
            <w:shd w:fill="F2F2F2"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Structural steel welding</w:t>
            </w:r>
          </w:p>
        </w:tc>
        <w:tc>
          <w:tcPr>
            <w:tcW w:type="dxa" w:w="1300"/>
            <w:shd w:fill="F2F2F2"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Daily in fabrication bay</w:t>
            </w:r>
          </w:p>
        </w:tc>
        <w:tc>
          <w:tcPr>
            <w:tcW w:type="dxa" w:w="2272"/>
            <w:shd w:fill="F2F2F2"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Local extraction, RPE, welding curtains</w:t>
            </w:r>
          </w:p>
        </w:tc>
      </w:tr>
    </w:tbl>
    <w:p>
      <w:pPr>
        <w:spacing w:after="100" w:line="300" w:lineRule="auto"/>
      </w:pPr>
      <w:r>
        <w:rPr>
          <w:rFonts w:ascii="Arial" w:cs="Arial" w:eastAsia="Arial" w:hAnsi="Arial"/>
          <w:b w:val="false"/>
          <w:bCs w:val="false"/>
          <w:i w:val="false"/>
          <w:iCs w:val="false"/>
          <w:color w:val="1A1A1A"/>
          <w:sz w:val="20"/>
          <w:szCs w:val="20"/>
        </w:rPr>
        <w:t xml:space="preserve"/>
      </w:r>
    </w:p>
    <w:p>
      <w:pPr>
        <w:pStyle w:val="Heading3"/>
        <w:spacing w:after="100" w:before="180"/>
      </w:pPr>
      <w:r>
        <w:rPr>
          <w:rFonts w:ascii="Arial" w:cs="Arial" w:eastAsia="Arial" w:hAnsi="Arial"/>
          <w:b/>
          <w:bCs/>
          <w:color w:val="ED1B24"/>
          <w:sz w:val="21"/>
          <w:szCs w:val="21"/>
        </w:rPr>
        <w:t xml:space="preserve">Clinical protocol note: implication of exceedances, subject to OMP confirmation</w:t>
      </w:r>
    </w:p>
    <w:p>
      <w:pPr>
        <w:spacing w:after="120" w:line="300" w:lineRule="auto"/>
      </w:pPr>
      <w:r>
        <w:rPr>
          <w:rFonts w:ascii="Arial" w:cs="Arial" w:eastAsia="Arial" w:hAnsi="Arial"/>
          <w:b w:val="false"/>
          <w:bCs w:val="false"/>
          <w:i w:val="false"/>
          <w:iCs w:val="false"/>
          <w:color w:val="1A1A1A"/>
          <w:sz w:val="19"/>
          <w:szCs w:val="19"/>
        </w:rPr>
        <w:t xml:space="preserve">The measured levels above indicate exposures at or above the applicable occupational exposure limit for one or more job categories. Pending the Designated OMP's review and confirmation, Care Net's provisional view is that the affected categories warrant the annual interval already set in Section 6 as a minimum, with earlier or additional testing where clinical findings indicate.</w:t>
      </w:r>
    </w:p>
    <w:p>
      <w:pPr>
        <w:spacing w:after="120" w:line="300" w:lineRule="auto"/>
      </w:pPr>
      <w:r>
        <w:rPr>
          <w:rFonts w:ascii="Arial" w:cs="Arial" w:eastAsia="Arial" w:hAnsi="Arial"/>
          <w:b w:val="false"/>
          <w:bCs w:val="false"/>
          <w:i w:val="false"/>
          <w:iCs w:val="false"/>
          <w:color w:val="1A1A1A"/>
          <w:sz w:val="19"/>
          <w:szCs w:val="19"/>
        </w:rPr>
        <w:t xml:space="preserve">These figures also indicate a need for the Client to review engineering and administrative controls for the affected areas per the hierarchy of controls. Medical surveillance detects early effect but does not substitute for controlling the exposure at source.</w:t>
      </w:r>
    </w:p>
    <w:p>
      <w:pPr>
        <w:pStyle w:val="Heading1"/>
        <w:spacing w:after="160" w:before="320"/>
      </w:pPr>
      <w:r>
        <w:rPr>
          <w:rFonts w:ascii="Arial" w:cs="Arial" w:eastAsia="Arial" w:hAnsi="Arial"/>
          <w:b/>
          <w:bCs/>
          <w:color w:val="ED1B24"/>
          <w:sz w:val="28"/>
          <w:szCs w:val="28"/>
        </w:rPr>
        <w:t xml:space="preserve">6. WORKER ALLOCATED SURVEILLANCE PROGRAMME (WASP): TESTS AND INTERVALS</w:t>
      </w:r>
    </w:p>
    <w:tbl>
      <w:tblPr>
        <w:tblW w:type="dxa" w:w="9072"/>
        <w:tblBorders>
          <w:top w:val="single" w:color="1A1A1A" w:sz="4"/>
          <w:left w:val="single" w:color="BBBBBB" w:sz="2"/>
          <w:bottom w:val="single" w:color="1A1A1A" w:sz="4"/>
          <w:right w:val="single" w:color="BBBBBB" w:sz="2"/>
          <w:insideH w:val="single" w:color="CCCCCC" w:sz="2"/>
          <w:insideV w:val="single" w:color="CCCCCC" w:sz="2"/>
        </w:tblBorders>
      </w:tblPr>
      <w:tblGrid>
        <w:gridCol w:w="1600"/>
        <w:gridCol w:w="2000"/>
        <w:gridCol w:w="2400"/>
        <w:gridCol w:w="1600"/>
        <w:gridCol w:w="1472"/>
      </w:tblGrid>
      <w:tr>
        <w:trPr>
          <w:tblHeader/>
        </w:trPr>
        <w:tc>
          <w:tcPr>
            <w:tcW w:type="dxa" w:w="1600"/>
            <w:shd w:fill="1A1A1A" w:val="clear"/>
            <w:tcMar>
              <w:top w:type="dxa" w:w="60"/>
              <w:left w:type="dxa" w:w="80"/>
              <w:bottom w:type="dxa" w:w="60"/>
              <w:right w:type="dxa" w:w="80"/>
            </w:tcMar>
            <w:vAlign w:val="top"/>
          </w:tcPr>
          <w:p>
            <w:r>
              <w:rPr>
                <w:rFonts w:ascii="Arial" w:cs="Arial" w:eastAsia="Arial" w:hAnsi="Arial"/>
                <w:b/>
                <w:bCs/>
                <w:i w:val="false"/>
                <w:iCs w:val="false"/>
                <w:color w:val="FFFFFF"/>
                <w:sz w:val="17"/>
                <w:szCs w:val="17"/>
              </w:rPr>
              <w:t xml:space="preserve">Job title</w:t>
            </w:r>
          </w:p>
        </w:tc>
        <w:tc>
          <w:tcPr>
            <w:tcW w:type="dxa" w:w="2000"/>
            <w:shd w:fill="1A1A1A" w:val="clear"/>
            <w:tcMar>
              <w:top w:type="dxa" w:w="60"/>
              <w:left w:type="dxa" w:w="80"/>
              <w:bottom w:type="dxa" w:w="60"/>
              <w:right w:type="dxa" w:w="80"/>
            </w:tcMar>
            <w:vAlign w:val="top"/>
          </w:tcPr>
          <w:p>
            <w:r>
              <w:rPr>
                <w:rFonts w:ascii="Arial" w:cs="Arial" w:eastAsia="Arial" w:hAnsi="Arial"/>
                <w:b/>
                <w:bCs/>
                <w:i w:val="false"/>
                <w:iCs w:val="false"/>
                <w:color w:val="FFFFFF"/>
                <w:sz w:val="17"/>
                <w:szCs w:val="17"/>
              </w:rPr>
              <w:t xml:space="preserve">Baseline (pre placement)</w:t>
            </w:r>
          </w:p>
        </w:tc>
        <w:tc>
          <w:tcPr>
            <w:tcW w:type="dxa" w:w="2400"/>
            <w:shd w:fill="1A1A1A" w:val="clear"/>
            <w:tcMar>
              <w:top w:type="dxa" w:w="60"/>
              <w:left w:type="dxa" w:w="80"/>
              <w:bottom w:type="dxa" w:w="60"/>
              <w:right w:type="dxa" w:w="80"/>
            </w:tcMar>
            <w:vAlign w:val="top"/>
          </w:tcPr>
          <w:p>
            <w:r>
              <w:rPr>
                <w:rFonts w:ascii="Arial" w:cs="Arial" w:eastAsia="Arial" w:hAnsi="Arial"/>
                <w:b/>
                <w:bCs/>
                <w:i w:val="false"/>
                <w:iCs w:val="false"/>
                <w:color w:val="FFFFFF"/>
                <w:sz w:val="17"/>
                <w:szCs w:val="17"/>
              </w:rPr>
              <w:t xml:space="preserve">Periodic and interval</w:t>
            </w:r>
          </w:p>
        </w:tc>
        <w:tc>
          <w:tcPr>
            <w:tcW w:type="dxa" w:w="1600"/>
            <w:shd w:fill="1A1A1A" w:val="clear"/>
            <w:tcMar>
              <w:top w:type="dxa" w:w="60"/>
              <w:left w:type="dxa" w:w="80"/>
              <w:bottom w:type="dxa" w:w="60"/>
              <w:right w:type="dxa" w:w="80"/>
            </w:tcMar>
            <w:vAlign w:val="top"/>
          </w:tcPr>
          <w:p>
            <w:r>
              <w:rPr>
                <w:rFonts w:ascii="Arial" w:cs="Arial" w:eastAsia="Arial" w:hAnsi="Arial"/>
                <w:b/>
                <w:bCs/>
                <w:i w:val="false"/>
                <w:iCs w:val="false"/>
                <w:color w:val="FFFFFF"/>
                <w:sz w:val="17"/>
                <w:szCs w:val="17"/>
              </w:rPr>
              <w:t xml:space="preserve">Exit</w:t>
            </w:r>
          </w:p>
        </w:tc>
        <w:tc>
          <w:tcPr>
            <w:tcW w:type="dxa" w:w="1472"/>
            <w:shd w:fill="1A1A1A" w:val="clear"/>
            <w:tcMar>
              <w:top w:type="dxa" w:w="60"/>
              <w:left w:type="dxa" w:w="80"/>
              <w:bottom w:type="dxa" w:w="60"/>
              <w:right w:type="dxa" w:w="80"/>
            </w:tcMar>
            <w:vAlign w:val="top"/>
          </w:tcPr>
          <w:p>
            <w:r>
              <w:rPr>
                <w:rFonts w:ascii="Arial" w:cs="Arial" w:eastAsia="Arial" w:hAnsi="Arial"/>
                <w:b/>
                <w:bCs/>
                <w:i w:val="false"/>
                <w:iCs w:val="false"/>
                <w:color w:val="FFFFFF"/>
                <w:sz w:val="17"/>
                <w:szCs w:val="17"/>
              </w:rPr>
              <w:t xml:space="preserve">Biological monitoring</w:t>
            </w:r>
          </w:p>
        </w:tc>
      </w:tr>
      <w:tr>
        <w:tc>
          <w:tcPr>
            <w:tcW w:type="dxa" w:w="1600"/>
            <w:shd w:fill="FFFFFF"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Site Manager / Supervisor</w:t>
            </w:r>
          </w:p>
        </w:tc>
        <w:tc>
          <w:tcPr>
            <w:tcW w:type="dxa" w:w="2000"/>
            <w:shd w:fill="FFFFFF"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Audiometry; Chest X-ray per silica protocol; Respiratory symptom questionnaire; Spirometry; Heights medical (cardiovascular, neurological, vision, blood pressure, BMI, vertigo and balance screen); Heat stress tolerance assessment</w:t>
            </w:r>
          </w:p>
        </w:tc>
        <w:tc>
          <w:tcPr>
            <w:tcW w:type="dxa" w:w="2400"/>
            <w:shd w:fill="FFFFFF"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Audiometry (12 months); Chest X-ray per silica protocol (12 months); Respiratory symptom questionnaire (12 months); Spirometry (12 months); Heights medical (cardiovascular, neurological, vision, blood pressure, BMI, vertigo and balance screen) (12 months); Heat stress tolerance assessment (12 months)</w:t>
            </w:r>
          </w:p>
        </w:tc>
        <w:tc>
          <w:tcPr>
            <w:tcW w:type="dxa" w:w="1600"/>
            <w:shd w:fill="FFFFFF"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Audiometry; Chest X-ray per silica protocol; Respiratory symptom questionnaire; Spirometry; Heights medical (cardiovascular, neurological, vision, blood pressure, BMI, vertigo and balance screen); Heat stress tolerance assessment</w:t>
            </w:r>
          </w:p>
        </w:tc>
        <w:tc>
          <w:tcPr>
            <w:tcW w:type="dxa" w:w="1472"/>
            <w:shd w:fill="FFFFFF"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None indicated</w:t>
            </w:r>
          </w:p>
        </w:tc>
      </w:tr>
      <w:tr>
        <w:tc>
          <w:tcPr>
            <w:tcW w:type="dxa" w:w="1600"/>
            <w:shd w:fill="F2F2F2"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General Labourer</w:t>
            </w:r>
          </w:p>
        </w:tc>
        <w:tc>
          <w:tcPr>
            <w:tcW w:type="dxa" w:w="2000"/>
            <w:shd w:fill="F2F2F2"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Audiometry; Chest X-ray per silica protocol; Respiratory symptom questionnaire; Spirometry; Musculoskeletal and ergonomic assessment; Heat stress tolerance assessment</w:t>
            </w:r>
          </w:p>
        </w:tc>
        <w:tc>
          <w:tcPr>
            <w:tcW w:type="dxa" w:w="2400"/>
            <w:shd w:fill="F2F2F2"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Audiometry (12 months); Chest X-ray per silica protocol (12 months); Respiratory symptom questionnaire (12 months); Spirometry (12 months); Musculoskeletal and ergonomic assessment (12 months); Heat stress tolerance assessment (12 months)</w:t>
            </w:r>
          </w:p>
        </w:tc>
        <w:tc>
          <w:tcPr>
            <w:tcW w:type="dxa" w:w="1600"/>
            <w:shd w:fill="F2F2F2"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Audiometry; Chest X-ray per silica protocol; Respiratory symptom questionnaire; Spirometry; Musculoskeletal and ergonomic assessment; Heat stress tolerance assessment</w:t>
            </w:r>
          </w:p>
        </w:tc>
        <w:tc>
          <w:tcPr>
            <w:tcW w:type="dxa" w:w="1472"/>
            <w:shd w:fill="F2F2F2"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None indicated</w:t>
            </w:r>
          </w:p>
        </w:tc>
      </w:tr>
      <w:tr>
        <w:tc>
          <w:tcPr>
            <w:tcW w:type="dxa" w:w="1600"/>
            <w:shd w:fill="FFFFFF"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Scaffolder / Heights Worker</w:t>
            </w:r>
          </w:p>
        </w:tc>
        <w:tc>
          <w:tcPr>
            <w:tcW w:type="dxa" w:w="2000"/>
            <w:shd w:fill="FFFFFF"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Heights medical (cardiovascular, neurological, vision, blood pressure, BMI, vertigo and balance screen); Vibration and musculoskeletal screen; Audiometry</w:t>
            </w:r>
          </w:p>
        </w:tc>
        <w:tc>
          <w:tcPr>
            <w:tcW w:type="dxa" w:w="2400"/>
            <w:shd w:fill="FFFFFF"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Heights medical (cardiovascular, neurological, vision, blood pressure, BMI, vertigo and balance screen) (12 months); Vibration and musculoskeletal screen (12 months); Audiometry (12 months)</w:t>
            </w:r>
          </w:p>
        </w:tc>
        <w:tc>
          <w:tcPr>
            <w:tcW w:type="dxa" w:w="1600"/>
            <w:shd w:fill="FFFFFF"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Heights medical (cardiovascular, neurological, vision, blood pressure, BMI, vertigo and balance screen); Vibration and musculoskeletal screen; Audiometry</w:t>
            </w:r>
          </w:p>
        </w:tc>
        <w:tc>
          <w:tcPr>
            <w:tcW w:type="dxa" w:w="1472"/>
            <w:shd w:fill="FFFFFF"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None indicated</w:t>
            </w:r>
          </w:p>
        </w:tc>
      </w:tr>
      <w:tr>
        <w:tc>
          <w:tcPr>
            <w:tcW w:type="dxa" w:w="1600"/>
            <w:shd w:fill="F2F2F2"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Plant Operator</w:t>
            </w:r>
          </w:p>
        </w:tc>
        <w:tc>
          <w:tcPr>
            <w:tcW w:type="dxa" w:w="2000"/>
            <w:shd w:fill="F2F2F2"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Vibration and musculoskeletal screen; Audiometry; Dermatological screen; Occupational chemical exposure medical assessment; Musculoskeletal and ergonomic assessment</w:t>
            </w:r>
          </w:p>
        </w:tc>
        <w:tc>
          <w:tcPr>
            <w:tcW w:type="dxa" w:w="2400"/>
            <w:shd w:fill="F2F2F2"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Vibration and musculoskeletal screen (12 months); Audiometry (12 months); Dermatological screen (12 months); Occupational chemical exposure medical assessment (12 months); Musculoskeletal and ergonomic assessment (12 months)</w:t>
            </w:r>
          </w:p>
        </w:tc>
        <w:tc>
          <w:tcPr>
            <w:tcW w:type="dxa" w:w="1600"/>
            <w:shd w:fill="F2F2F2"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Vibration and musculoskeletal screen; Audiometry; Dermatological screen; Occupational chemical exposure medical assessment; Musculoskeletal and ergonomic assessment</w:t>
            </w:r>
          </w:p>
        </w:tc>
        <w:tc>
          <w:tcPr>
            <w:tcW w:type="dxa" w:w="1472"/>
            <w:shd w:fill="F2F2F2"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Biological monitoring for specific agents (reference values under OMP confirmation)</w:t>
            </w:r>
          </w:p>
        </w:tc>
      </w:tr>
      <w:tr>
        <w:tc>
          <w:tcPr>
            <w:tcW w:type="dxa" w:w="1600"/>
            <w:shd w:fill="FFFFFF"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Welder / Steel Fabricator</w:t>
            </w:r>
          </w:p>
        </w:tc>
        <w:tc>
          <w:tcPr>
            <w:tcW w:type="dxa" w:w="2000"/>
            <w:shd w:fill="FFFFFF"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Dermatological screen; Occupational chemical exposure medical assessment; Vision screening including colour vision, and skin surveillance for ultraviolet exposure; Audiometry</w:t>
            </w:r>
          </w:p>
        </w:tc>
        <w:tc>
          <w:tcPr>
            <w:tcW w:type="dxa" w:w="2400"/>
            <w:shd w:fill="FFFFFF"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Dermatological screen (12 months); Occupational chemical exposure medical assessment (12 months); Vision screening including colour vision, and skin surveillance for ultraviolet exposure (12 months); Audiometry (12 months)</w:t>
            </w:r>
          </w:p>
        </w:tc>
        <w:tc>
          <w:tcPr>
            <w:tcW w:type="dxa" w:w="1600"/>
            <w:shd w:fill="FFFFFF"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Dermatological screen; Occupational chemical exposure medical assessment; Vision screening including colour vision, and skin surveillance for ultraviolet exposure; Audiometry</w:t>
            </w:r>
          </w:p>
        </w:tc>
        <w:tc>
          <w:tcPr>
            <w:tcW w:type="dxa" w:w="1472"/>
            <w:shd w:fill="FFFFFF"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Biological monitoring for specific agents (reference values under OMP confirmation)</w:t>
            </w:r>
          </w:p>
        </w:tc>
      </w:tr>
      <w:tr>
        <w:tc>
          <w:tcPr>
            <w:tcW w:type="dxa" w:w="1600"/>
            <w:shd w:fill="F2F2F2"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Concrete and Cement Worker</w:t>
            </w:r>
          </w:p>
        </w:tc>
        <w:tc>
          <w:tcPr>
            <w:tcW w:type="dxa" w:w="2000"/>
            <w:shd w:fill="F2F2F2"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Chest X-ray per silica protocol; Respiratory symptom questionnaire; Spirometry; Dermatological screen; Occupational chemical exposure medical assessment; Musculoskeletal and ergonomic assessment</w:t>
            </w:r>
          </w:p>
        </w:tc>
        <w:tc>
          <w:tcPr>
            <w:tcW w:type="dxa" w:w="2400"/>
            <w:shd w:fill="F2F2F2"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Chest X-ray per silica protocol (12 months); Respiratory symptom questionnaire (12 months); Spirometry (12 months); Dermatological screen (12 months); Occupational chemical exposure medical assessment (12 months); Musculoskeletal and ergonomic assessment (12 months)</w:t>
            </w:r>
          </w:p>
        </w:tc>
        <w:tc>
          <w:tcPr>
            <w:tcW w:type="dxa" w:w="1600"/>
            <w:shd w:fill="F2F2F2"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Chest X-ray per silica protocol; Respiratory symptom questionnaire; Spirometry; Dermatological screen; Occupational chemical exposure medical assessment; Musculoskeletal and ergonomic assessment</w:t>
            </w:r>
          </w:p>
        </w:tc>
        <w:tc>
          <w:tcPr>
            <w:tcW w:type="dxa" w:w="1472"/>
            <w:shd w:fill="F2F2F2"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Biological monitoring for specific agents (reference values under OMP confirmation)</w:t>
            </w:r>
          </w:p>
        </w:tc>
      </w:tr>
      <w:tr>
        <w:tc>
          <w:tcPr>
            <w:tcW w:type="dxa" w:w="1600"/>
            <w:shd w:fill="FFFFFF"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Driver / Plant and Materials Transport</w:t>
            </w:r>
          </w:p>
        </w:tc>
        <w:tc>
          <w:tcPr>
            <w:tcW w:type="dxa" w:w="2000"/>
            <w:shd w:fill="FFFFFF"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PrDP statutory medical and vision screen; Vibration and musculoskeletal screen; Musculoskeletal and ergonomic assessment</w:t>
            </w:r>
          </w:p>
        </w:tc>
        <w:tc>
          <w:tcPr>
            <w:tcW w:type="dxa" w:w="2400"/>
            <w:shd w:fill="FFFFFF"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PrDP statutory medical and vision screen (12 months); Vibration and musculoskeletal screen (12 months); Musculoskeletal and ergonomic assessment (12 months)</w:t>
            </w:r>
          </w:p>
        </w:tc>
        <w:tc>
          <w:tcPr>
            <w:tcW w:type="dxa" w:w="1600"/>
            <w:shd w:fill="FFFFFF"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PrDP statutory medical and vision screen; Vibration and musculoskeletal screen; Musculoskeletal and ergonomic assessment</w:t>
            </w:r>
          </w:p>
        </w:tc>
        <w:tc>
          <w:tcPr>
            <w:tcW w:type="dxa" w:w="1472"/>
            <w:shd w:fill="FFFFFF"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None indicated</w:t>
            </w:r>
          </w:p>
        </w:tc>
      </w:tr>
    </w:tbl>
    <w:p>
      <w:pPr>
        <w:spacing w:after="100" w:line="300" w:lineRule="auto"/>
      </w:pPr>
      <w:r>
        <w:rPr>
          <w:rFonts w:ascii="Arial" w:cs="Arial" w:eastAsia="Arial" w:hAnsi="Arial"/>
          <w:b w:val="false"/>
          <w:bCs w:val="false"/>
          <w:i w:val="false"/>
          <w:iCs w:val="false"/>
          <w:color w:val="1A1A1A"/>
          <w:sz w:val="20"/>
          <w:szCs w:val="20"/>
        </w:rPr>
        <w:t xml:space="preserve"/>
      </w:r>
    </w:p>
    <w:p>
      <w:pPr>
        <w:pStyle w:val="Heading3"/>
        <w:spacing w:after="100" w:before="180"/>
      </w:pPr>
      <w:r>
        <w:rPr>
          <w:rFonts w:ascii="Arial" w:cs="Arial" w:eastAsia="Arial" w:hAnsi="Arial"/>
          <w:b/>
          <w:bCs/>
          <w:color w:val="ED1B24"/>
          <w:sz w:val="21"/>
          <w:szCs w:val="21"/>
        </w:rPr>
        <w:t xml:space="preserve">Types of medical examination performed under this Plan</w:t>
      </w:r>
    </w:p>
    <w:tbl>
      <w:tblPr>
        <w:tblW w:type="dxa" w:w="9072"/>
        <w:tblBorders>
          <w:top w:val="single" w:color="1A1A1A" w:sz="4"/>
          <w:left w:val="single" w:color="BBBBBB" w:sz="2"/>
          <w:bottom w:val="single" w:color="1A1A1A" w:sz="4"/>
          <w:right w:val="single" w:color="BBBBBB" w:sz="2"/>
          <w:insideH w:val="single" w:color="CCCCCC" w:sz="2"/>
          <w:insideV w:val="single" w:color="CCCCCC" w:sz="2"/>
        </w:tblBorders>
      </w:tblPr>
      <w:tblGrid>
        <w:gridCol w:w="2800"/>
        <w:gridCol w:w="6272"/>
      </w:tblGrid>
      <w:tr>
        <w:trPr>
          <w:tblHeader/>
        </w:trPr>
        <w:tc>
          <w:tcPr>
            <w:tcW w:type="dxa" w:w="2800"/>
            <w:shd w:fill="1A1A1A" w:val="clear"/>
            <w:tcMar>
              <w:top w:type="dxa" w:w="60"/>
              <w:left w:type="dxa" w:w="80"/>
              <w:bottom w:type="dxa" w:w="60"/>
              <w:right w:type="dxa" w:w="80"/>
            </w:tcMar>
            <w:vAlign w:val="top"/>
          </w:tcPr>
          <w:p>
            <w:r>
              <w:rPr>
                <w:rFonts w:ascii="Arial" w:cs="Arial" w:eastAsia="Arial" w:hAnsi="Arial"/>
                <w:b/>
                <w:bCs/>
                <w:i w:val="false"/>
                <w:iCs w:val="false"/>
                <w:color w:val="FFFFFF"/>
                <w:sz w:val="17"/>
                <w:szCs w:val="17"/>
              </w:rPr>
              <w:t xml:space="preserve">Examination type</w:t>
            </w:r>
          </w:p>
        </w:tc>
        <w:tc>
          <w:tcPr>
            <w:tcW w:type="dxa" w:w="6272"/>
            <w:shd w:fill="1A1A1A" w:val="clear"/>
            <w:tcMar>
              <w:top w:type="dxa" w:w="60"/>
              <w:left w:type="dxa" w:w="80"/>
              <w:bottom w:type="dxa" w:w="60"/>
              <w:right w:type="dxa" w:w="80"/>
            </w:tcMar>
            <w:vAlign w:val="top"/>
          </w:tcPr>
          <w:p>
            <w:r>
              <w:rPr>
                <w:rFonts w:ascii="Arial" w:cs="Arial" w:eastAsia="Arial" w:hAnsi="Arial"/>
                <w:b/>
                <w:bCs/>
                <w:i w:val="false"/>
                <w:iCs w:val="false"/>
                <w:color w:val="FFFFFF"/>
                <w:sz w:val="17"/>
                <w:szCs w:val="17"/>
              </w:rPr>
              <w:t xml:space="preserve">Purpose and timing</w:t>
            </w:r>
          </w:p>
        </w:tc>
      </w:tr>
      <w:tr>
        <w:tc>
          <w:tcPr>
            <w:tcW w:type="dxa" w:w="2800"/>
            <w:shd w:fill="FFFFFF"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Pre-placement / pre-employment</w:t>
            </w:r>
          </w:p>
        </w:tc>
        <w:tc>
          <w:tcPr>
            <w:tcW w:type="dxa" w:w="6272"/>
            <w:shd w:fill="FFFFFF"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Establishes baseline health status and confirms fitness for the specific job's requirements before exposure begins</w:t>
            </w:r>
          </w:p>
        </w:tc>
      </w:tr>
      <w:tr>
        <w:tc>
          <w:tcPr>
            <w:tcW w:type="dxa" w:w="2800"/>
            <w:shd w:fill="F2F2F2"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Routine / periodic</w:t>
            </w:r>
          </w:p>
        </w:tc>
        <w:tc>
          <w:tcPr>
            <w:tcW w:type="dxa" w:w="6272"/>
            <w:shd w:fill="F2F2F2"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Conducted at the interval defined in the WASP table above, for as long as the employee remains in the exposed role</w:t>
            </w:r>
          </w:p>
        </w:tc>
      </w:tr>
      <w:tr>
        <w:tc>
          <w:tcPr>
            <w:tcW w:type="dxa" w:w="2800"/>
            <w:shd w:fill="FFFFFF"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Transfer examination</w:t>
            </w:r>
          </w:p>
        </w:tc>
        <w:tc>
          <w:tcPr>
            <w:tcW w:type="dxa" w:w="6272"/>
            <w:shd w:fill="FFFFFF"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Performed when an employee moves to a role with a different exposure profile or capability requirement</w:t>
            </w:r>
          </w:p>
        </w:tc>
      </w:tr>
      <w:tr>
        <w:tc>
          <w:tcPr>
            <w:tcW w:type="dxa" w:w="2800"/>
            <w:shd w:fill="F2F2F2"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Return-to-work examination</w:t>
            </w:r>
          </w:p>
        </w:tc>
        <w:tc>
          <w:tcPr>
            <w:tcW w:type="dxa" w:w="6272"/>
            <w:shd w:fill="F2F2F2"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Performed following occupational injury, illness, or prolonged absence, before the employee resumes duties</w:t>
            </w:r>
          </w:p>
        </w:tc>
      </w:tr>
      <w:tr>
        <w:tc>
          <w:tcPr>
            <w:tcW w:type="dxa" w:w="2800"/>
            <w:shd w:fill="FFFFFF"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Exit / termination examination</w:t>
            </w:r>
          </w:p>
        </w:tc>
        <w:tc>
          <w:tcPr>
            <w:tcW w:type="dxa" w:w="6272"/>
            <w:shd w:fill="FFFFFF"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Performed at the end of service to establish health status and whether any occupational exposure effect has developed</w:t>
            </w:r>
          </w:p>
        </w:tc>
      </w:tr>
      <w:tr>
        <w:tc>
          <w:tcPr>
            <w:tcW w:type="dxa" w:w="2800"/>
            <w:shd w:fill="F2F2F2"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Trigger / unscheduled examination</w:t>
            </w:r>
          </w:p>
        </w:tc>
        <w:tc>
          <w:tcPr>
            <w:tcW w:type="dxa" w:w="6272"/>
            <w:shd w:fill="F2F2F2"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Performed where there is a change in the OREP, new symptoms are reported, or a significant workplace incident occurs</w:t>
            </w:r>
          </w:p>
        </w:tc>
      </w:tr>
    </w:tbl>
    <w:tbl>
      <w:tblPr>
        <w:tblW w:type="dxa" w:w="9072"/>
        <w:tblBorders>
          <w:top w:val="single" w:color="1A1A1A" w:sz="4"/>
          <w:left w:val="single" w:color="BBBBBB" w:sz="2"/>
          <w:bottom w:val="single" w:color="1A1A1A" w:sz="4"/>
          <w:right w:val="single" w:color="BBBBBB" w:sz="2"/>
          <w:insideH w:val="single" w:color="CCCCCC" w:sz="2"/>
          <w:insideV w:val="single" w:color="CCCCCC" w:sz="2"/>
        </w:tblBorders>
      </w:tblPr>
      <w:tblGrid>
        <w:gridCol w:w="1850"/>
        <w:gridCol w:w="1500"/>
        <w:gridCol w:w="1300"/>
        <w:gridCol w:w="4422"/>
      </w:tblGrid>
      <w:tr>
        <w:trPr>
          <w:tblHeader/>
        </w:trPr>
        <w:tc>
          <w:tcPr>
            <w:tcW w:type="dxa" w:w="1850"/>
            <w:shd w:fill="1A1A1A" w:val="clear"/>
            <w:tcMar>
              <w:top w:type="dxa" w:w="60"/>
              <w:left w:type="dxa" w:w="80"/>
              <w:bottom w:type="dxa" w:w="60"/>
              <w:right w:type="dxa" w:w="80"/>
            </w:tcMar>
            <w:vAlign w:val="top"/>
          </w:tcPr>
          <w:p>
            <w:r>
              <w:rPr>
                <w:rFonts w:ascii="Arial" w:cs="Arial" w:eastAsia="Arial" w:hAnsi="Arial"/>
                <w:b/>
                <w:bCs/>
                <w:i w:val="false"/>
                <w:iCs w:val="false"/>
                <w:color w:val="FFFFFF"/>
                <w:sz w:val="17"/>
                <w:szCs w:val="17"/>
              </w:rPr>
              <w:t xml:space="preserve">Job title</w:t>
            </w:r>
          </w:p>
        </w:tc>
        <w:tc>
          <w:tcPr>
            <w:tcW w:type="dxa" w:w="1500"/>
            <w:shd w:fill="1A1A1A" w:val="clear"/>
            <w:tcMar>
              <w:top w:type="dxa" w:w="60"/>
              <w:left w:type="dxa" w:w="80"/>
              <w:bottom w:type="dxa" w:w="60"/>
              <w:right w:type="dxa" w:w="80"/>
            </w:tcMar>
            <w:vAlign w:val="top"/>
          </w:tcPr>
          <w:p>
            <w:r>
              <w:rPr>
                <w:rFonts w:ascii="Arial" w:cs="Arial" w:eastAsia="Arial" w:hAnsi="Arial"/>
                <w:b/>
                <w:bCs/>
                <w:i w:val="false"/>
                <w:iCs w:val="false"/>
                <w:color w:val="FFFFFF"/>
                <w:sz w:val="17"/>
                <w:szCs w:val="17"/>
              </w:rPr>
              <w:t xml:space="preserve">RPE issued</w:t>
            </w:r>
          </w:p>
        </w:tc>
        <w:tc>
          <w:tcPr>
            <w:tcW w:type="dxa" w:w="1300"/>
            <w:shd w:fill="1A1A1A" w:val="clear"/>
            <w:tcMar>
              <w:top w:type="dxa" w:w="60"/>
              <w:left w:type="dxa" w:w="80"/>
              <w:bottom w:type="dxa" w:w="60"/>
              <w:right w:type="dxa" w:w="80"/>
            </w:tcMar>
            <w:vAlign w:val="top"/>
          </w:tcPr>
          <w:p>
            <w:r>
              <w:rPr>
                <w:rFonts w:ascii="Arial" w:cs="Arial" w:eastAsia="Arial" w:hAnsi="Arial"/>
                <w:b/>
                <w:bCs/>
                <w:i w:val="false"/>
                <w:iCs w:val="false"/>
                <w:color w:val="FFFFFF"/>
                <w:sz w:val="17"/>
                <w:szCs w:val="17"/>
              </w:rPr>
              <w:t xml:space="preserve">RPE fit tested</w:t>
            </w:r>
          </w:p>
        </w:tc>
        <w:tc>
          <w:tcPr>
            <w:tcW w:type="dxa" w:w="4422"/>
            <w:shd w:fill="1A1A1A" w:val="clear"/>
            <w:tcMar>
              <w:top w:type="dxa" w:w="60"/>
              <w:left w:type="dxa" w:w="80"/>
              <w:bottom w:type="dxa" w:w="60"/>
              <w:right w:type="dxa" w:w="80"/>
            </w:tcMar>
            <w:vAlign w:val="top"/>
          </w:tcPr>
          <w:p>
            <w:r>
              <w:rPr>
                <w:rFonts w:ascii="Arial" w:cs="Arial" w:eastAsia="Arial" w:hAnsi="Arial"/>
                <w:b/>
                <w:bCs/>
                <w:i w:val="false"/>
                <w:iCs w:val="false"/>
                <w:color w:val="FFFFFF"/>
                <w:sz w:val="17"/>
                <w:szCs w:val="17"/>
              </w:rPr>
              <w:t xml:space="preserve">Surveillance implication</w:t>
            </w:r>
          </w:p>
        </w:tc>
      </w:tr>
      <w:tr>
        <w:tc>
          <w:tcPr>
            <w:tcW w:type="dxa" w:w="1850"/>
            <w:shd w:fill="FFFFFF"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Site Manager / Supervisor</w:t>
            </w:r>
          </w:p>
        </w:tc>
        <w:tc>
          <w:tcPr>
            <w:tcW w:type="dxa" w:w="1500"/>
            <w:shd w:fill="FFFFFF"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Not applicable</w:t>
            </w:r>
          </w:p>
        </w:tc>
        <w:tc>
          <w:tcPr>
            <w:tcW w:type="dxa" w:w="1300"/>
            <w:shd w:fill="FFFFFF"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Not applicable</w:t>
            </w:r>
          </w:p>
        </w:tc>
        <w:tc>
          <w:tcPr>
            <w:tcW w:type="dxa" w:w="4422"/>
            <w:shd w:fill="FFFFFF"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No interval adjustment.</w:t>
            </w:r>
          </w:p>
        </w:tc>
      </w:tr>
      <w:tr>
        <w:tc>
          <w:tcPr>
            <w:tcW w:type="dxa" w:w="1850"/>
            <w:shd w:fill="F2F2F2"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General Labourer</w:t>
            </w:r>
          </w:p>
        </w:tc>
        <w:tc>
          <w:tcPr>
            <w:tcW w:type="dxa" w:w="1500"/>
            <w:shd w:fill="F2F2F2"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P2 dust mask</w:t>
            </w:r>
          </w:p>
        </w:tc>
        <w:tc>
          <w:tcPr>
            <w:tcW w:type="dxa" w:w="1300"/>
            <w:shd w:fill="F2F2F2"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No</w:t>
            </w:r>
          </w:p>
        </w:tc>
        <w:tc>
          <w:tcPr>
            <w:tcW w:type="dxa" w:w="4422"/>
            <w:shd w:fill="F2F2F2"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Until fit testing is confirmed, RPE is not relied upon as a full control; the periodic interval is treated as a minimum, not a ceiling, and fit testing is recommended as a priority.</w:t>
            </w:r>
          </w:p>
        </w:tc>
      </w:tr>
      <w:tr>
        <w:tc>
          <w:tcPr>
            <w:tcW w:type="dxa" w:w="1850"/>
            <w:shd w:fill="FFFFFF"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Scaffolder / Heights Worker</w:t>
            </w:r>
          </w:p>
        </w:tc>
        <w:tc>
          <w:tcPr>
            <w:tcW w:type="dxa" w:w="1500"/>
            <w:shd w:fill="FFFFFF"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Not applicable</w:t>
            </w:r>
          </w:p>
        </w:tc>
        <w:tc>
          <w:tcPr>
            <w:tcW w:type="dxa" w:w="1300"/>
            <w:shd w:fill="FFFFFF"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Not applicable</w:t>
            </w:r>
          </w:p>
        </w:tc>
        <w:tc>
          <w:tcPr>
            <w:tcW w:type="dxa" w:w="4422"/>
            <w:shd w:fill="FFFFFF"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No interval adjustment.</w:t>
            </w:r>
          </w:p>
        </w:tc>
      </w:tr>
      <w:tr>
        <w:tc>
          <w:tcPr>
            <w:tcW w:type="dxa" w:w="1850"/>
            <w:shd w:fill="F2F2F2"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Plant Operator</w:t>
            </w:r>
          </w:p>
        </w:tc>
        <w:tc>
          <w:tcPr>
            <w:tcW w:type="dxa" w:w="1500"/>
            <w:shd w:fill="F2F2F2"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Not applicable</w:t>
            </w:r>
          </w:p>
        </w:tc>
        <w:tc>
          <w:tcPr>
            <w:tcW w:type="dxa" w:w="1300"/>
            <w:shd w:fill="F2F2F2"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Not applicable</w:t>
            </w:r>
          </w:p>
        </w:tc>
        <w:tc>
          <w:tcPr>
            <w:tcW w:type="dxa" w:w="4422"/>
            <w:shd w:fill="F2F2F2"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No interval adjustment.</w:t>
            </w:r>
          </w:p>
        </w:tc>
      </w:tr>
      <w:tr>
        <w:tc>
          <w:tcPr>
            <w:tcW w:type="dxa" w:w="1850"/>
            <w:shd w:fill="FFFFFF"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Welder / Steel Fabricator</w:t>
            </w:r>
          </w:p>
        </w:tc>
        <w:tc>
          <w:tcPr>
            <w:tcW w:type="dxa" w:w="1500"/>
            <w:shd w:fill="FFFFFF"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Half mask with P3 filter</w:t>
            </w:r>
          </w:p>
        </w:tc>
        <w:tc>
          <w:tcPr>
            <w:tcW w:type="dxa" w:w="1300"/>
            <w:shd w:fill="FFFFFF"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Yes</w:t>
            </w:r>
          </w:p>
        </w:tc>
        <w:tc>
          <w:tcPr>
            <w:tcW w:type="dxa" w:w="4422"/>
            <w:shd w:fill="FFFFFF"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No interval adjustment.</w:t>
            </w:r>
          </w:p>
        </w:tc>
      </w:tr>
      <w:tr>
        <w:tc>
          <w:tcPr>
            <w:tcW w:type="dxa" w:w="1850"/>
            <w:shd w:fill="F2F2F2"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Concrete and Cement Worker</w:t>
            </w:r>
          </w:p>
        </w:tc>
        <w:tc>
          <w:tcPr>
            <w:tcW w:type="dxa" w:w="1500"/>
            <w:shd w:fill="F2F2F2"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P2 dust mask</w:t>
            </w:r>
          </w:p>
        </w:tc>
        <w:tc>
          <w:tcPr>
            <w:tcW w:type="dxa" w:w="1300"/>
            <w:shd w:fill="F2F2F2"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No</w:t>
            </w:r>
          </w:p>
        </w:tc>
        <w:tc>
          <w:tcPr>
            <w:tcW w:type="dxa" w:w="4422"/>
            <w:shd w:fill="F2F2F2"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Until fit testing is confirmed, RPE is not relied upon as a full control; the periodic interval is treated as a minimum, not a ceiling, and fit testing is recommended as a priority.</w:t>
            </w:r>
          </w:p>
        </w:tc>
      </w:tr>
      <w:tr>
        <w:tc>
          <w:tcPr>
            <w:tcW w:type="dxa" w:w="1850"/>
            <w:shd w:fill="FFFFFF"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Driver / Plant and Materials Transport</w:t>
            </w:r>
          </w:p>
        </w:tc>
        <w:tc>
          <w:tcPr>
            <w:tcW w:type="dxa" w:w="1500"/>
            <w:shd w:fill="FFFFFF"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Not applicable</w:t>
            </w:r>
          </w:p>
        </w:tc>
        <w:tc>
          <w:tcPr>
            <w:tcW w:type="dxa" w:w="1300"/>
            <w:shd w:fill="FFFFFF"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Not applicable</w:t>
            </w:r>
          </w:p>
        </w:tc>
        <w:tc>
          <w:tcPr>
            <w:tcW w:type="dxa" w:w="4422"/>
            <w:shd w:fill="FFFFFF"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No interval adjustment.</w:t>
            </w:r>
          </w:p>
        </w:tc>
      </w:tr>
    </w:tbl>
    <w:p>
      <w:pPr>
        <w:spacing w:after="100" w:line="300" w:lineRule="auto"/>
      </w:pPr>
      <w:r>
        <w:rPr>
          <w:rFonts w:ascii="Arial" w:cs="Arial" w:eastAsia="Arial" w:hAnsi="Arial"/>
          <w:b w:val="false"/>
          <w:bCs w:val="false"/>
          <w:i w:val="false"/>
          <w:iCs w:val="false"/>
          <w:color w:val="1A1A1A"/>
          <w:sz w:val="20"/>
          <w:szCs w:val="20"/>
        </w:rPr>
        <w:t xml:space="preserve"/>
      </w:r>
    </w:p>
    <w:p>
      <w:pPr>
        <w:pStyle w:val="Heading1"/>
        <w:spacing w:after="160" w:before="320"/>
      </w:pPr>
      <w:r>
        <w:rPr>
          <w:rFonts w:ascii="Arial" w:cs="Arial" w:eastAsia="Arial" w:hAnsi="Arial"/>
          <w:b/>
          <w:bCs/>
          <w:color w:val="ED1B24"/>
          <w:sz w:val="28"/>
          <w:szCs w:val="28"/>
        </w:rPr>
        <w:t xml:space="preserve">7. ROLES AND RESPONSIBILITIES</w:t>
      </w:r>
    </w:p>
    <w:p>
      <w:pPr>
        <w:spacing w:after="120" w:line="300" w:lineRule="auto"/>
      </w:pPr>
      <w:r>
        <w:rPr>
          <w:rFonts w:ascii="Arial" w:cs="Arial" w:eastAsia="Arial" w:hAnsi="Arial"/>
          <w:b w:val="false"/>
          <w:bCs w:val="false"/>
          <w:i w:val="false"/>
          <w:iCs w:val="false"/>
          <w:color w:val="1A1A1A"/>
          <w:sz w:val="19"/>
          <w:szCs w:val="19"/>
        </w:rPr>
        <w:t xml:space="preserve">Responsibilities follow the canonical allocation: Client management provides accurate and current risk information and acts on fitness recommendations; the Client SHE or HR representative maintains the employee to job category register; Care Net Occupational Health Practitioners conduct examinations and maintain confidentiality; the Designated Occupational Medical Practitioner approves this Plan and manages complex fitness determinations; the health and safety representative facilitates communication; employees attend examinations and report new symptoms. The employer is the payer for all examinations under this programme.</w:t>
      </w:r>
    </w:p>
    <w:p>
      <w:pPr>
        <w:pStyle w:val="Heading1"/>
        <w:spacing w:after="160" w:before="320"/>
      </w:pPr>
      <w:r>
        <w:rPr>
          <w:rFonts w:ascii="Arial" w:cs="Arial" w:eastAsia="Arial" w:hAnsi="Arial"/>
          <w:b/>
          <w:bCs/>
          <w:color w:val="ED1B24"/>
          <w:sz w:val="28"/>
          <w:szCs w:val="28"/>
        </w:rPr>
        <w:t xml:space="preserve">8. ANNEXURE A: EMPLOYEE TO JOB CATEGORY REGISTER</w:t>
      </w:r>
    </w:p>
    <w:p>
      <w:pPr>
        <w:spacing w:after="120" w:line="300" w:lineRule="auto"/>
      </w:pPr>
      <w:r>
        <w:rPr>
          <w:rFonts w:ascii="Arial" w:cs="Arial" w:eastAsia="Arial" w:hAnsi="Arial"/>
          <w:b w:val="false"/>
          <w:bCs w:val="false"/>
          <w:i w:val="false"/>
          <w:iCs w:val="false"/>
          <w:color w:val="1A1A1A"/>
          <w:sz w:val="19"/>
          <w:szCs w:val="19"/>
        </w:rPr>
        <w:t xml:space="preserve">The register links each employee to a job category and therefore to the OREP and WASP applicable to them. Only the last four digits of each identity number are recorded, in line with Care Net data minimisation practice under POPIA. The register template is issued with this Plan and maintained by the Client SHE or HR representative.</w:t>
      </w:r>
    </w:p>
    <w:p>
      <w:pPr>
        <w:pStyle w:val="Heading1"/>
        <w:spacing w:after="160" w:before="320"/>
      </w:pPr>
      <w:r>
        <w:rPr>
          <w:rFonts w:ascii="Arial" w:cs="Arial" w:eastAsia="Arial" w:hAnsi="Arial"/>
          <w:b/>
          <w:bCs/>
          <w:color w:val="ED1B24"/>
          <w:sz w:val="28"/>
          <w:szCs w:val="28"/>
        </w:rPr>
        <w:t xml:space="preserve">9. CONFIDENTIALITY AND PROTECTION OF PERSONAL INFORMATION</w:t>
      </w:r>
    </w:p>
    <w:p>
      <w:pPr>
        <w:pStyle w:val="ListParagraph"/>
        <w:numPr>
          <w:ilvl w:val="0"/>
          <w:numId w:val="2"/>
        </w:numPr>
        <w:spacing w:after="80"/>
      </w:pPr>
      <w:r>
        <w:rPr>
          <w:rFonts w:ascii="Arial" w:cs="Arial" w:eastAsia="Arial" w:hAnsi="Arial"/>
          <w:b w:val="false"/>
          <w:bCs w:val="false"/>
          <w:i w:val="false"/>
          <w:iCs w:val="false"/>
          <w:color w:val="1A1A1A"/>
          <w:sz w:val="19"/>
          <w:szCs w:val="19"/>
        </w:rPr>
        <w:t xml:space="preserve">Individual medical results remain strictly confidential and are held by Care Net's Occupational Health Practitioners under the Designated OMP.</w:t>
      </w:r>
    </w:p>
    <w:p>
      <w:pPr>
        <w:pStyle w:val="ListParagraph"/>
        <w:numPr>
          <w:ilvl w:val="0"/>
          <w:numId w:val="2"/>
        </w:numPr>
        <w:spacing w:after="80"/>
      </w:pPr>
      <w:r>
        <w:rPr>
          <w:rFonts w:ascii="Arial" w:cs="Arial" w:eastAsia="Arial" w:hAnsi="Arial"/>
          <w:b w:val="false"/>
          <w:bCs w:val="false"/>
          <w:i w:val="false"/>
          <w:iCs w:val="false"/>
          <w:color w:val="1A1A1A"/>
          <w:sz w:val="19"/>
          <w:szCs w:val="19"/>
        </w:rPr>
        <w:t xml:space="preserve">The Client receives only the fitness outcome and any applicable work restrictions for each employee, never clinical detail or test results.</w:t>
      </w:r>
    </w:p>
    <w:p>
      <w:pPr>
        <w:pStyle w:val="ListParagraph"/>
        <w:numPr>
          <w:ilvl w:val="0"/>
          <w:numId w:val="2"/>
        </w:numPr>
        <w:spacing w:after="80"/>
      </w:pPr>
      <w:r>
        <w:rPr>
          <w:rFonts w:ascii="Arial" w:cs="Arial" w:eastAsia="Arial" w:hAnsi="Arial"/>
          <w:b w:val="false"/>
          <w:bCs w:val="false"/>
          <w:i w:val="false"/>
          <w:iCs w:val="false"/>
          <w:color w:val="1A1A1A"/>
          <w:sz w:val="19"/>
          <w:szCs w:val="19"/>
        </w:rPr>
        <w:t xml:space="preserve">Employees provide informed consent before any personal medical information is released beyond the fitness outcome.</w:t>
      </w:r>
    </w:p>
    <w:p>
      <w:pPr>
        <w:pStyle w:val="ListParagraph"/>
        <w:numPr>
          <w:ilvl w:val="0"/>
          <w:numId w:val="2"/>
        </w:numPr>
        <w:spacing w:after="80"/>
      </w:pPr>
      <w:r>
        <w:rPr>
          <w:rFonts w:ascii="Arial" w:cs="Arial" w:eastAsia="Arial" w:hAnsi="Arial"/>
          <w:b w:val="false"/>
          <w:bCs w:val="false"/>
          <w:i w:val="false"/>
          <w:iCs w:val="false"/>
          <w:color w:val="1A1A1A"/>
          <w:sz w:val="19"/>
          <w:szCs w:val="19"/>
        </w:rPr>
        <w:t xml:space="preserve">De-identified, aggregated group data may be shared with the Client for workplace risk-management purposes.</w:t>
      </w:r>
    </w:p>
    <w:p>
      <w:pPr>
        <w:pStyle w:val="ListParagraph"/>
        <w:numPr>
          <w:ilvl w:val="0"/>
          <w:numId w:val="2"/>
        </w:numPr>
        <w:spacing w:after="80"/>
      </w:pPr>
      <w:r>
        <w:rPr>
          <w:rFonts w:ascii="Arial" w:cs="Arial" w:eastAsia="Arial" w:hAnsi="Arial"/>
          <w:b w:val="false"/>
          <w:bCs w:val="false"/>
          <w:i w:val="false"/>
          <w:iCs w:val="false"/>
          <w:color w:val="1A1A1A"/>
          <w:sz w:val="19"/>
          <w:szCs w:val="19"/>
        </w:rPr>
        <w:t xml:space="preserve">All records are processed and stored in accordance with the Protection of Personal Information Act 4 of 2013 (POPIA).</w:t>
      </w:r>
    </w:p>
    <w:p>
      <w:pPr>
        <w:pStyle w:val="Heading3"/>
        <w:spacing w:after="100" w:before="180"/>
      </w:pPr>
      <w:r>
        <w:rPr>
          <w:rFonts w:ascii="Arial" w:cs="Arial" w:eastAsia="Arial" w:hAnsi="Arial"/>
          <w:b/>
          <w:bCs/>
          <w:color w:val="ED1B24"/>
          <w:sz w:val="21"/>
          <w:szCs w:val="21"/>
        </w:rPr>
        <w:t xml:space="preserve">POPIA note</w:t>
      </w:r>
    </w:p>
    <w:p>
      <w:pPr>
        <w:spacing w:after="120" w:line="300" w:lineRule="auto"/>
      </w:pPr>
      <w:r>
        <w:rPr>
          <w:rFonts w:ascii="Arial" w:cs="Arial" w:eastAsia="Arial" w:hAnsi="Arial"/>
          <w:b w:val="false"/>
          <w:bCs w:val="false"/>
          <w:i w:val="false"/>
          <w:iCs w:val="false"/>
          <w:color w:val="1A1A1A"/>
          <w:sz w:val="19"/>
          <w:szCs w:val="19"/>
        </w:rPr>
        <w:t xml:space="preserve">This Plan and its annexures contain only job-category and fitness-outcome information. Clinical findings and individual test results are not recorded in this document and are held separately under the Designated OMP.</w:t>
      </w:r>
    </w:p>
    <w:p>
      <w:pPr>
        <w:pStyle w:val="Heading1"/>
        <w:spacing w:after="160" w:before="320"/>
      </w:pPr>
      <w:r>
        <w:rPr>
          <w:rFonts w:ascii="Arial" w:cs="Arial" w:eastAsia="Arial" w:hAnsi="Arial"/>
          <w:b/>
          <w:bCs/>
          <w:color w:val="ED1B24"/>
          <w:sz w:val="28"/>
          <w:szCs w:val="28"/>
        </w:rPr>
        <w:t xml:space="preserve">10. REVIEW AND VALIDITY OF THIS PLAN</w:t>
      </w:r>
    </w:p>
    <w:p>
      <w:pPr>
        <w:spacing w:after="120" w:line="300" w:lineRule="auto"/>
      </w:pPr>
      <w:r>
        <w:rPr>
          <w:rFonts w:ascii="Arial" w:cs="Arial" w:eastAsia="Arial" w:hAnsi="Arial"/>
          <w:b w:val="false"/>
          <w:bCs w:val="false"/>
          <w:i w:val="false"/>
          <w:iCs w:val="false"/>
          <w:color w:val="1A1A1A"/>
          <w:sz w:val="19"/>
          <w:szCs w:val="19"/>
        </w:rPr>
        <w:t xml:space="preserve">This Plan is reviewed by the Designated Occupational Medical Practitioner at least annually, and immediately upon a change in processes, plant, or materials, the introduction of a new job category, a change in applicable legislation or guidance, or notification of an updated risk assessment. In particular, the noise instrument transition of 6 September 2026 is a scheduled review trigger for this Plan.</w:t>
      </w:r>
    </w:p>
    <w:p>
      <w:pPr>
        <w:pStyle w:val="Heading1"/>
        <w:spacing w:after="160" w:before="320"/>
      </w:pPr>
      <w:r>
        <w:rPr>
          <w:rFonts w:ascii="Arial" w:cs="Arial" w:eastAsia="Arial" w:hAnsi="Arial"/>
          <w:b/>
          <w:bCs/>
          <w:color w:val="ED1B24"/>
          <w:sz w:val="28"/>
          <w:szCs w:val="28"/>
        </w:rPr>
        <w:t xml:space="preserve">11. SIGN OFF</w:t>
      </w:r>
    </w:p>
    <w:p>
      <w:pPr>
        <w:pStyle w:val="Heading2"/>
        <w:spacing w:after="120" w:before="240"/>
      </w:pPr>
      <w:r>
        <w:rPr>
          <w:rFonts w:ascii="Arial" w:cs="Arial" w:eastAsia="Arial" w:hAnsi="Arial"/>
          <w:b/>
          <w:bCs/>
          <w:color w:val="1A1A1A"/>
          <w:sz w:val="23"/>
          <w:szCs w:val="23"/>
        </w:rPr>
        <w:t xml:space="preserve">11.1 Care Net Occupational Medical Practitioner approval</w:t>
      </w:r>
    </w:p>
    <w:p>
      <w:pPr>
        <w:spacing w:after="120" w:line="300" w:lineRule="auto"/>
      </w:pPr>
      <w:r>
        <w:rPr>
          <w:rFonts w:ascii="Arial" w:cs="Arial" w:eastAsia="Arial" w:hAnsi="Arial"/>
          <w:b w:val="false"/>
          <w:bCs w:val="false"/>
          <w:i w:val="false"/>
          <w:iCs w:val="false"/>
          <w:color w:val="1A1A1A"/>
          <w:sz w:val="19"/>
          <w:szCs w:val="19"/>
        </w:rPr>
        <w:t xml:space="preserve">Approval of this Plan by the Designated OMP confirms that the medical assessments and intervals in Sections 5 and 6 are clinically appropriate to the exposures reported by the Client, on the basis set out in Section 4.</w:t>
      </w:r>
    </w:p>
    <w:p>
      <w:pPr>
        <w:spacing w:after="60" w:line="300" w:lineRule="auto"/>
      </w:pPr>
      <w:r>
        <w:rPr>
          <w:rFonts w:ascii="Arial" w:cs="Arial" w:eastAsia="Arial" w:hAnsi="Arial"/>
          <w:b w:val="false"/>
          <w:bCs w:val="false"/>
          <w:i w:val="false"/>
          <w:iCs w:val="false"/>
          <w:color w:val="1A1A1A"/>
          <w:sz w:val="19"/>
          <w:szCs w:val="19"/>
        </w:rPr>
        <w:t xml:space="preserve">Signature: __________________________________________</w:t>
      </w:r>
    </w:p>
    <w:p>
      <w:pPr>
        <w:spacing w:after="60" w:line="300" w:lineRule="auto"/>
      </w:pPr>
      <w:r>
        <w:rPr>
          <w:rFonts w:ascii="Arial" w:cs="Arial" w:eastAsia="Arial" w:hAnsi="Arial"/>
          <w:b w:val="false"/>
          <w:bCs w:val="false"/>
          <w:i w:val="false"/>
          <w:iCs w:val="false"/>
          <w:color w:val="1A1A1A"/>
          <w:sz w:val="19"/>
          <w:szCs w:val="19"/>
        </w:rPr>
        <w:t xml:space="preserve">Full name: __________________________________________</w:t>
      </w:r>
    </w:p>
    <w:p>
      <w:pPr>
        <w:spacing w:after="60" w:line="300" w:lineRule="auto"/>
      </w:pPr>
      <w:r>
        <w:rPr>
          <w:rFonts w:ascii="Arial" w:cs="Arial" w:eastAsia="Arial" w:hAnsi="Arial"/>
          <w:b w:val="false"/>
          <w:bCs w:val="false"/>
          <w:i w:val="false"/>
          <w:iCs w:val="false"/>
          <w:color w:val="1A1A1A"/>
          <w:sz w:val="19"/>
          <w:szCs w:val="19"/>
        </w:rPr>
        <w:t xml:space="preserve">Role: Designated Occupational Medical Practitioner. Dr C. P. Green-Thompson | HPCSA Reg No. MP 0195952 | SASOM Membership SAS1270</w:t>
      </w:r>
    </w:p>
    <w:p>
      <w:pPr>
        <w:spacing w:after="60" w:line="300" w:lineRule="auto"/>
      </w:pPr>
      <w:r>
        <w:rPr>
          <w:rFonts w:ascii="Arial" w:cs="Arial" w:eastAsia="Arial" w:hAnsi="Arial"/>
          <w:b w:val="false"/>
          <w:bCs w:val="false"/>
          <w:i w:val="false"/>
          <w:iCs w:val="false"/>
          <w:color w:val="1A1A1A"/>
          <w:sz w:val="19"/>
          <w:szCs w:val="19"/>
        </w:rPr>
        <w:t xml:space="preserve">For and on behalf of Care Net Consultants (Pty) Ltd</w:t>
      </w:r>
    </w:p>
    <w:p>
      <w:pPr>
        <w:spacing w:after="60" w:line="300" w:lineRule="auto"/>
      </w:pPr>
      <w:r>
        <w:rPr>
          <w:rFonts w:ascii="Arial" w:cs="Arial" w:eastAsia="Arial" w:hAnsi="Arial"/>
          <w:b w:val="false"/>
          <w:bCs w:val="false"/>
          <w:i w:val="false"/>
          <w:iCs w:val="false"/>
          <w:color w:val="1A1A1A"/>
          <w:sz w:val="19"/>
          <w:szCs w:val="19"/>
        </w:rPr>
        <w:t xml:space="preserve">Date (DD/MM/YYYY): __________________________________________</w:t>
      </w:r>
    </w:p>
    <w:p>
      <w:pPr>
        <w:pStyle w:val="Heading2"/>
        <w:spacing w:after="120" w:before="240"/>
      </w:pPr>
      <w:r>
        <w:rPr>
          <w:rFonts w:ascii="Arial" w:cs="Arial" w:eastAsia="Arial" w:hAnsi="Arial"/>
          <w:b/>
          <w:bCs/>
          <w:color w:val="1A1A1A"/>
          <w:sz w:val="23"/>
          <w:szCs w:val="23"/>
        </w:rPr>
        <w:t xml:space="preserve">11.2 Client acknowledgement</w:t>
      </w:r>
    </w:p>
    <w:p>
      <w:pPr>
        <w:spacing w:after="120" w:line="300" w:lineRule="auto"/>
      </w:pPr>
      <w:r>
        <w:rPr>
          <w:rFonts w:ascii="Arial" w:cs="Arial" w:eastAsia="Arial" w:hAnsi="Arial"/>
          <w:b w:val="false"/>
          <w:bCs w:val="false"/>
          <w:i w:val="false"/>
          <w:iCs w:val="false"/>
          <w:color w:val="1A1A1A"/>
          <w:sz w:val="19"/>
          <w:szCs w:val="19"/>
        </w:rPr>
        <w:t xml:space="preserve">The Client acknowledges that the hazard and exposure information described in Sections 2, 5, and 8 of this Plan was supplied by the Client, that Care Net did not conduct the underlying risk assessment, and that the Client remains responsible for the accuracy of that information and for its periodic review, as set out in Section 4.</w:t>
      </w:r>
    </w:p>
    <w:p>
      <w:pPr>
        <w:spacing w:after="60" w:line="300" w:lineRule="auto"/>
      </w:pPr>
      <w:r>
        <w:rPr>
          <w:rFonts w:ascii="Arial" w:cs="Arial" w:eastAsia="Arial" w:hAnsi="Arial"/>
          <w:b w:val="false"/>
          <w:bCs w:val="false"/>
          <w:i w:val="false"/>
          <w:iCs w:val="false"/>
          <w:color w:val="1A1A1A"/>
          <w:sz w:val="19"/>
          <w:szCs w:val="19"/>
        </w:rPr>
        <w:t xml:space="preserve">Signature: __________________________________________</w:t>
      </w:r>
    </w:p>
    <w:p>
      <w:pPr>
        <w:spacing w:after="60" w:line="300" w:lineRule="auto"/>
      </w:pPr>
      <w:r>
        <w:rPr>
          <w:rFonts w:ascii="Arial" w:cs="Arial" w:eastAsia="Arial" w:hAnsi="Arial"/>
          <w:b w:val="false"/>
          <w:bCs w:val="false"/>
          <w:i w:val="false"/>
          <w:iCs w:val="false"/>
          <w:color w:val="1A1A1A"/>
          <w:sz w:val="19"/>
          <w:szCs w:val="19"/>
        </w:rPr>
        <w:t xml:space="preserve">Full name: __________________________________________</w:t>
      </w:r>
    </w:p>
    <w:p>
      <w:pPr>
        <w:spacing w:after="60" w:line="300" w:lineRule="auto"/>
      </w:pPr>
      <w:r>
        <w:rPr>
          <w:rFonts w:ascii="Arial" w:cs="Arial" w:eastAsia="Arial" w:hAnsi="Arial"/>
          <w:b w:val="false"/>
          <w:bCs w:val="false"/>
          <w:i w:val="false"/>
          <w:iCs w:val="false"/>
          <w:color w:val="1A1A1A"/>
          <w:sz w:val="19"/>
          <w:szCs w:val="19"/>
        </w:rPr>
        <w:t xml:space="preserve">Role: [Client Representative Title]</w:t>
      </w:r>
    </w:p>
    <w:p>
      <w:pPr>
        <w:spacing w:after="60" w:line="300" w:lineRule="auto"/>
      </w:pPr>
      <w:r>
        <w:rPr>
          <w:rFonts w:ascii="Arial" w:cs="Arial" w:eastAsia="Arial" w:hAnsi="Arial"/>
          <w:b w:val="false"/>
          <w:bCs w:val="false"/>
          <w:i w:val="false"/>
          <w:iCs w:val="false"/>
          <w:color w:val="1A1A1A"/>
          <w:sz w:val="19"/>
          <w:szCs w:val="19"/>
        </w:rPr>
        <w:t xml:space="preserve">For and on behalf of Horizon Construction and Civils (Pty) Ltd</w:t>
      </w:r>
    </w:p>
    <w:p>
      <w:pPr>
        <w:spacing w:after="60" w:line="300" w:lineRule="auto"/>
      </w:pPr>
      <w:r>
        <w:rPr>
          <w:rFonts w:ascii="Arial" w:cs="Arial" w:eastAsia="Arial" w:hAnsi="Arial"/>
          <w:b w:val="false"/>
          <w:bCs w:val="false"/>
          <w:i w:val="false"/>
          <w:iCs w:val="false"/>
          <w:color w:val="1A1A1A"/>
          <w:sz w:val="19"/>
          <w:szCs w:val="19"/>
        </w:rPr>
        <w:t xml:space="preserve">Date (DD/MM/YYYY): __________________________________________</w:t>
      </w:r>
    </w:p>
    <w:p>
      <w:r>
        <w:br w:type="page"/>
      </w:r>
    </w:p>
    <w:p>
      <w:pPr>
        <w:pStyle w:val="Heading1"/>
        <w:spacing w:after="160" w:before="320"/>
      </w:pPr>
      <w:r>
        <w:rPr>
          <w:rFonts w:ascii="Arial" w:cs="Arial" w:eastAsia="Arial" w:hAnsi="Arial"/>
          <w:b/>
          <w:bCs/>
          <w:color w:val="ED1B24"/>
          <w:sz w:val="28"/>
          <w:szCs w:val="28"/>
        </w:rPr>
        <w:t xml:space="preserve">ANNEXURE B: EMPLOYEE TO JOB CATEGORY REGISTER TEMPLATE</w:t>
      </w:r>
    </w:p>
    <w:p>
      <w:pPr>
        <w:spacing w:after="120" w:line="300" w:lineRule="auto"/>
      </w:pPr>
      <w:r>
        <w:rPr>
          <w:rFonts w:ascii="Arial" w:cs="Arial" w:eastAsia="Arial" w:hAnsi="Arial"/>
          <w:b w:val="false"/>
          <w:bCs w:val="false"/>
          <w:i w:val="false"/>
          <w:iCs w:val="false"/>
          <w:color w:val="1A1A1A"/>
          <w:sz w:val="19"/>
          <w:szCs w:val="19"/>
        </w:rPr>
        <w:t xml:space="preserve">Only the last four digits of each identity number are ever recorded, in line with Care Net data minimisation practice under POPIA. The register is maintained by the Client SHE or HR representative and updated on every start, transfer, and exit.</w:t>
      </w:r>
    </w:p>
    <w:tbl>
      <w:tblPr>
        <w:tblW w:type="dxa" w:w="9072"/>
        <w:tblBorders>
          <w:top w:val="single" w:color="1A1A1A" w:sz="4"/>
          <w:left w:val="single" w:color="BBBBBB" w:sz="2"/>
          <w:bottom w:val="single" w:color="1A1A1A" w:sz="4"/>
          <w:right w:val="single" w:color="BBBBBB" w:sz="2"/>
          <w:insideH w:val="single" w:color="CCCCCC" w:sz="2"/>
          <w:insideV w:val="single" w:color="CCCCCC" w:sz="2"/>
        </w:tblBorders>
      </w:tblPr>
      <w:tblGrid>
        <w:gridCol w:w="3200"/>
        <w:gridCol w:w="2400"/>
        <w:gridCol w:w="3472"/>
      </w:tblGrid>
      <w:tr>
        <w:trPr>
          <w:tblHeader/>
        </w:trPr>
        <w:tc>
          <w:tcPr>
            <w:tcW w:type="dxa" w:w="3200"/>
            <w:shd w:fill="1A1A1A" w:val="clear"/>
            <w:tcMar>
              <w:top w:type="dxa" w:w="60"/>
              <w:left w:type="dxa" w:w="80"/>
              <w:bottom w:type="dxa" w:w="60"/>
              <w:right w:type="dxa" w:w="80"/>
            </w:tcMar>
            <w:vAlign w:val="top"/>
          </w:tcPr>
          <w:p>
            <w:r>
              <w:rPr>
                <w:rFonts w:ascii="Arial" w:cs="Arial" w:eastAsia="Arial" w:hAnsi="Arial"/>
                <w:b/>
                <w:bCs/>
                <w:i w:val="false"/>
                <w:iCs w:val="false"/>
                <w:color w:val="FFFFFF"/>
                <w:sz w:val="17"/>
                <w:szCs w:val="17"/>
              </w:rPr>
              <w:t xml:space="preserve">Employee (surname, initial)</w:t>
            </w:r>
          </w:p>
        </w:tc>
        <w:tc>
          <w:tcPr>
            <w:tcW w:type="dxa" w:w="2400"/>
            <w:shd w:fill="1A1A1A" w:val="clear"/>
            <w:tcMar>
              <w:top w:type="dxa" w:w="60"/>
              <w:left w:type="dxa" w:w="80"/>
              <w:bottom w:type="dxa" w:w="60"/>
              <w:right w:type="dxa" w:w="80"/>
            </w:tcMar>
            <w:vAlign w:val="top"/>
          </w:tcPr>
          <w:p>
            <w:r>
              <w:rPr>
                <w:rFonts w:ascii="Arial" w:cs="Arial" w:eastAsia="Arial" w:hAnsi="Arial"/>
                <w:b/>
                <w:bCs/>
                <w:i w:val="false"/>
                <w:iCs w:val="false"/>
                <w:color w:val="FFFFFF"/>
                <w:sz w:val="17"/>
                <w:szCs w:val="17"/>
              </w:rPr>
              <w:t xml:space="preserve">ID number (last 4 digits only)</w:t>
            </w:r>
          </w:p>
        </w:tc>
        <w:tc>
          <w:tcPr>
            <w:tcW w:type="dxa" w:w="3472"/>
            <w:shd w:fill="1A1A1A" w:val="clear"/>
            <w:tcMar>
              <w:top w:type="dxa" w:w="60"/>
              <w:left w:type="dxa" w:w="80"/>
              <w:bottom w:type="dxa" w:w="60"/>
              <w:right w:type="dxa" w:w="80"/>
            </w:tcMar>
            <w:vAlign w:val="top"/>
          </w:tcPr>
          <w:p>
            <w:r>
              <w:rPr>
                <w:rFonts w:ascii="Arial" w:cs="Arial" w:eastAsia="Arial" w:hAnsi="Arial"/>
                <w:b/>
                <w:bCs/>
                <w:i w:val="false"/>
                <w:iCs w:val="false"/>
                <w:color w:val="FFFFFF"/>
                <w:sz w:val="17"/>
                <w:szCs w:val="17"/>
              </w:rPr>
              <w:t xml:space="preserve">Job category (per Sections 5 and 6)</w:t>
            </w:r>
          </w:p>
        </w:tc>
      </w:tr>
      <w:tr>
        <w:tc>
          <w:tcPr>
            <w:tcW w:type="dxa" w:w="3200"/>
            <w:shd w:fill="FFFFFF"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
            </w:r>
          </w:p>
        </w:tc>
        <w:tc>
          <w:tcPr>
            <w:tcW w:type="dxa" w:w="2400"/>
            <w:shd w:fill="FFFFFF"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
            </w:r>
          </w:p>
        </w:tc>
        <w:tc>
          <w:tcPr>
            <w:tcW w:type="dxa" w:w="3472"/>
            <w:shd w:fill="FFFFFF"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
            </w:r>
          </w:p>
        </w:tc>
      </w:tr>
      <w:tr>
        <w:tc>
          <w:tcPr>
            <w:tcW w:type="dxa" w:w="3200"/>
            <w:shd w:fill="F2F2F2"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
            </w:r>
          </w:p>
        </w:tc>
        <w:tc>
          <w:tcPr>
            <w:tcW w:type="dxa" w:w="2400"/>
            <w:shd w:fill="F2F2F2"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
            </w:r>
          </w:p>
        </w:tc>
        <w:tc>
          <w:tcPr>
            <w:tcW w:type="dxa" w:w="3472"/>
            <w:shd w:fill="F2F2F2"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
            </w:r>
          </w:p>
        </w:tc>
      </w:tr>
      <w:tr>
        <w:tc>
          <w:tcPr>
            <w:tcW w:type="dxa" w:w="3200"/>
            <w:shd w:fill="FFFFFF"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
            </w:r>
          </w:p>
        </w:tc>
        <w:tc>
          <w:tcPr>
            <w:tcW w:type="dxa" w:w="2400"/>
            <w:shd w:fill="FFFFFF"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
            </w:r>
          </w:p>
        </w:tc>
        <w:tc>
          <w:tcPr>
            <w:tcW w:type="dxa" w:w="3472"/>
            <w:shd w:fill="FFFFFF"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
            </w:r>
          </w:p>
        </w:tc>
      </w:tr>
    </w:tbl>
    <w:p>
      <w:pPr>
        <w:pStyle w:val="Heading1"/>
        <w:spacing w:after="160" w:before="320"/>
      </w:pPr>
      <w:r>
        <w:rPr>
          <w:rFonts w:ascii="Arial" w:cs="Arial" w:eastAsia="Arial" w:hAnsi="Arial"/>
          <w:b/>
          <w:bCs/>
          <w:color w:val="ED1B24"/>
          <w:sz w:val="28"/>
          <w:szCs w:val="28"/>
        </w:rPr>
        <w:t xml:space="preserve">ANNEXURE C: TWELVE MONTH SURVEILLANCE CALENDAR</w:t>
      </w:r>
    </w:p>
    <w:p>
      <w:pPr>
        <w:spacing w:after="120" w:line="300" w:lineRule="auto"/>
      </w:pPr>
      <w:r>
        <w:rPr>
          <w:rFonts w:ascii="Arial" w:cs="Arial" w:eastAsia="Arial" w:hAnsi="Arial"/>
          <w:b w:val="false"/>
          <w:bCs w:val="false"/>
          <w:i w:val="false"/>
          <w:iCs w:val="false"/>
          <w:color w:val="1A1A1A"/>
          <w:sz w:val="19"/>
          <w:szCs w:val="19"/>
        </w:rPr>
        <w:t xml:space="preserve">All categories carry annual periodic surveillance. Baseline examinations are completed before exposure begins for every new engagement, transfer examinations on any change of exposure profile, and exit examinations on termination of exposure. The annual cycle for this Plan runs from the date of the OMP approval in Section 11.</w:t>
      </w:r>
    </w:p>
    <w:tbl>
      <w:tblPr>
        <w:tblW w:type="dxa" w:w="9072"/>
        <w:tblBorders>
          <w:top w:val="single" w:color="1A1A1A" w:sz="4"/>
          <w:left w:val="single" w:color="BBBBBB" w:sz="2"/>
          <w:bottom w:val="single" w:color="1A1A1A" w:sz="4"/>
          <w:right w:val="single" w:color="BBBBBB" w:sz="2"/>
          <w:insideH w:val="single" w:color="CCCCCC" w:sz="2"/>
          <w:insideV w:val="single" w:color="CCCCCC" w:sz="2"/>
        </w:tblBorders>
      </w:tblPr>
      <w:tblGrid>
        <w:gridCol w:w="1800"/>
        <w:gridCol w:w="7272"/>
      </w:tblGrid>
      <w:tr>
        <w:trPr>
          <w:tblHeader/>
        </w:trPr>
        <w:tc>
          <w:tcPr>
            <w:tcW w:type="dxa" w:w="1800"/>
            <w:shd w:fill="1A1A1A" w:val="clear"/>
            <w:tcMar>
              <w:top w:type="dxa" w:w="60"/>
              <w:left w:type="dxa" w:w="80"/>
              <w:bottom w:type="dxa" w:w="60"/>
              <w:right w:type="dxa" w:w="80"/>
            </w:tcMar>
            <w:vAlign w:val="top"/>
          </w:tcPr>
          <w:p>
            <w:r>
              <w:rPr>
                <w:rFonts w:ascii="Arial" w:cs="Arial" w:eastAsia="Arial" w:hAnsi="Arial"/>
                <w:b/>
                <w:bCs/>
                <w:i w:val="false"/>
                <w:iCs w:val="false"/>
                <w:color w:val="FFFFFF"/>
                <w:sz w:val="17"/>
                <w:szCs w:val="17"/>
              </w:rPr>
              <w:t xml:space="preserve">Month</w:t>
            </w:r>
          </w:p>
        </w:tc>
        <w:tc>
          <w:tcPr>
            <w:tcW w:type="dxa" w:w="7272"/>
            <w:shd w:fill="1A1A1A" w:val="clear"/>
            <w:tcMar>
              <w:top w:type="dxa" w:w="60"/>
              <w:left w:type="dxa" w:w="80"/>
              <w:bottom w:type="dxa" w:w="60"/>
              <w:right w:type="dxa" w:w="80"/>
            </w:tcMar>
            <w:vAlign w:val="top"/>
          </w:tcPr>
          <w:p>
            <w:r>
              <w:rPr>
                <w:rFonts w:ascii="Arial" w:cs="Arial" w:eastAsia="Arial" w:hAnsi="Arial"/>
                <w:b/>
                <w:bCs/>
                <w:i w:val="false"/>
                <w:iCs w:val="false"/>
                <w:color w:val="FFFFFF"/>
                <w:sz w:val="17"/>
                <w:szCs w:val="17"/>
              </w:rPr>
              <w:t xml:space="preserve">Activity</w:t>
            </w:r>
          </w:p>
        </w:tc>
      </w:tr>
      <w:tr>
        <w:tc>
          <w:tcPr>
            <w:tcW w:type="dxa" w:w="1800"/>
            <w:shd w:fill="FFFFFF"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Month 1</w:t>
            </w:r>
          </w:p>
        </w:tc>
        <w:tc>
          <w:tcPr>
            <w:tcW w:type="dxa" w:w="7272"/>
            <w:shd w:fill="FFFFFF"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Baseline completion sweep and programme induction for all categories</w:t>
            </w:r>
          </w:p>
        </w:tc>
      </w:tr>
      <w:tr>
        <w:tc>
          <w:tcPr>
            <w:tcW w:type="dxa" w:w="1800"/>
            <w:shd w:fill="F2F2F2"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Months 2 to 11</w:t>
            </w:r>
          </w:p>
        </w:tc>
        <w:tc>
          <w:tcPr>
            <w:tcW w:type="dxa" w:w="7272"/>
            <w:shd w:fill="F2F2F2"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Periodic examinations by category per the WASP, scheduled with the Client SHE representative</w:t>
            </w:r>
          </w:p>
        </w:tc>
      </w:tr>
      <w:tr>
        <w:tc>
          <w:tcPr>
            <w:tcW w:type="dxa" w:w="1800"/>
            <w:shd w:fill="FFFFFF"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Month 12</w:t>
            </w:r>
          </w:p>
        </w:tc>
        <w:tc>
          <w:tcPr>
            <w:tcW w:type="dxa" w:w="7272"/>
            <w:shd w:fill="FFFFFF" w:val="clear"/>
            <w:tcMar>
              <w:top w:type="dxa" w:w="60"/>
              <w:left w:type="dxa" w:w="80"/>
              <w:bottom w:type="dxa" w:w="60"/>
              <w:right w:type="dxa" w:w="80"/>
            </w:tcMar>
            <w:vAlign w:val="top"/>
          </w:tcPr>
          <w:p>
            <w:r>
              <w:rPr>
                <w:rFonts w:ascii="Arial" w:cs="Arial" w:eastAsia="Arial" w:hAnsi="Arial"/>
                <w:b w:val="false"/>
                <w:bCs w:val="false"/>
                <w:i w:val="false"/>
                <w:iCs w:val="false"/>
                <w:color w:val="1A1A1A"/>
                <w:sz w:val="17"/>
                <w:szCs w:val="17"/>
              </w:rPr>
              <w:t xml:space="preserve">Annual cycle close, exceedance review against updated hygiene data, and Plan review per Section 10</w:t>
            </w:r>
          </w:p>
        </w:tc>
      </w:tr>
    </w:tbl>
    <w:p>
      <w:pPr>
        <w:pStyle w:val="Heading1"/>
        <w:spacing w:after="160" w:before="320"/>
      </w:pPr>
      <w:r>
        <w:rPr>
          <w:rFonts w:ascii="Arial" w:cs="Arial" w:eastAsia="Arial" w:hAnsi="Arial"/>
          <w:b/>
          <w:bCs/>
          <w:color w:val="ED1B24"/>
          <w:sz w:val="28"/>
          <w:szCs w:val="28"/>
        </w:rPr>
        <w:t xml:space="preserve">ANNEXURE D: SOURCE LIST</w:t>
      </w:r>
    </w:p>
    <w:p>
      <w:pPr>
        <w:spacing w:after="120" w:line="300" w:lineRule="auto"/>
      </w:pPr>
      <w:r>
        <w:rPr>
          <w:rFonts w:ascii="Arial" w:cs="Arial" w:eastAsia="Arial" w:hAnsi="Arial"/>
          <w:b w:val="false"/>
          <w:bCs w:val="false"/>
          <w:i w:val="false"/>
          <w:iCs w:val="false"/>
          <w:color w:val="1A1A1A"/>
          <w:sz w:val="19"/>
          <w:szCs w:val="19"/>
        </w:rPr>
        <w:t xml:space="preserve">Sources are drawn from verified kernel rows only and presented once, with no in text citations, per house style.</w:t>
      </w:r>
    </w:p>
    <w:p>
      <w:pPr>
        <w:pStyle w:val="ListParagraph"/>
        <w:numPr>
          <w:ilvl w:val="0"/>
          <w:numId w:val="2"/>
        </w:numPr>
        <w:spacing w:after="60"/>
      </w:pPr>
      <w:r>
        <w:rPr>
          <w:rFonts w:ascii="Arial" w:cs="Arial" w:eastAsia="Arial" w:hAnsi="Arial"/>
          <w:b w:val="false"/>
          <w:bCs w:val="false"/>
          <w:i w:val="false"/>
          <w:iCs w:val="false"/>
          <w:color w:val="1A1A1A"/>
          <w:sz w:val="17"/>
          <w:szCs w:val="17"/>
        </w:rPr>
        <w:t xml:space="preserve">Occupational Health and Safety Act 85 of 1993</w:t>
      </w:r>
    </w:p>
    <w:p>
      <w:pPr>
        <w:pStyle w:val="ListParagraph"/>
        <w:numPr>
          <w:ilvl w:val="0"/>
          <w:numId w:val="2"/>
        </w:numPr>
        <w:spacing w:after="60"/>
      </w:pPr>
      <w:r>
        <w:rPr>
          <w:rFonts w:ascii="Arial" w:cs="Arial" w:eastAsia="Arial" w:hAnsi="Arial"/>
          <w:b w:val="false"/>
          <w:bCs w:val="false"/>
          <w:i w:val="false"/>
          <w:iCs w:val="false"/>
          <w:color w:val="1A1A1A"/>
          <w:sz w:val="17"/>
          <w:szCs w:val="17"/>
        </w:rPr>
        <w:t xml:space="preserve">Construction Regulations, 2014, GN R.84, Government Gazette 37305, 7 February 2014, made under the Occupational Health and Safety Act 85 of 1993</w:t>
      </w:r>
    </w:p>
    <w:p>
      <w:pPr>
        <w:pStyle w:val="ListParagraph"/>
        <w:numPr>
          <w:ilvl w:val="0"/>
          <w:numId w:val="2"/>
        </w:numPr>
        <w:spacing w:after="60"/>
      </w:pPr>
      <w:r>
        <w:rPr>
          <w:rFonts w:ascii="Arial" w:cs="Arial" w:eastAsia="Arial" w:hAnsi="Arial"/>
          <w:b w:val="false"/>
          <w:bCs w:val="false"/>
          <w:i w:val="false"/>
          <w:iCs w:val="false"/>
          <w:color w:val="1A1A1A"/>
          <w:sz w:val="17"/>
          <w:szCs w:val="17"/>
        </w:rPr>
        <w:t xml:space="preserve">Noise-Induced Hearing Loss Regulations, 2003, GN R.307 of 7 March 2003, made under the Occupational Health and Safety Act 85 of 1993</w:t>
      </w:r>
    </w:p>
    <w:p>
      <w:pPr>
        <w:pStyle w:val="ListParagraph"/>
        <w:numPr>
          <w:ilvl w:val="0"/>
          <w:numId w:val="2"/>
        </w:numPr>
        <w:spacing w:after="60"/>
      </w:pPr>
      <w:r>
        <w:rPr>
          <w:rFonts w:ascii="Arial" w:cs="Arial" w:eastAsia="Arial" w:hAnsi="Arial"/>
          <w:b w:val="false"/>
          <w:bCs w:val="false"/>
          <w:i w:val="false"/>
          <w:iCs w:val="false"/>
          <w:color w:val="1A1A1A"/>
          <w:sz w:val="17"/>
          <w:szCs w:val="17"/>
        </w:rPr>
        <w:t xml:space="preserve">Noise Exposure Regulations, 2024, GN 5953, Government Gazette 52226, 6 March 2025, made under the Occupational Health and Safety Act 85 of 1993</w:t>
      </w:r>
    </w:p>
    <w:p>
      <w:pPr>
        <w:pStyle w:val="ListParagraph"/>
        <w:numPr>
          <w:ilvl w:val="0"/>
          <w:numId w:val="2"/>
        </w:numPr>
        <w:spacing w:after="60"/>
      </w:pPr>
      <w:r>
        <w:rPr>
          <w:rFonts w:ascii="Arial" w:cs="Arial" w:eastAsia="Arial" w:hAnsi="Arial"/>
          <w:b w:val="false"/>
          <w:bCs w:val="false"/>
          <w:i w:val="false"/>
          <w:iCs w:val="false"/>
          <w:color w:val="1A1A1A"/>
          <w:sz w:val="17"/>
          <w:szCs w:val="17"/>
        </w:rPr>
        <w:t xml:space="preserve">Regulations for Hazardous Chemical Agents, 2021, GN R.280, Government Gazette 44348 (Regulation Gazette 11263), 29 March 2021, made under the Occupational Health and Safety Act 85 of 1993</w:t>
      </w:r>
    </w:p>
    <w:p>
      <w:pPr>
        <w:pStyle w:val="ListParagraph"/>
        <w:numPr>
          <w:ilvl w:val="0"/>
          <w:numId w:val="2"/>
        </w:numPr>
        <w:spacing w:after="60"/>
      </w:pPr>
      <w:r>
        <w:rPr>
          <w:rFonts w:ascii="Arial" w:cs="Arial" w:eastAsia="Arial" w:hAnsi="Arial"/>
          <w:b w:val="false"/>
          <w:bCs w:val="false"/>
          <w:i w:val="false"/>
          <w:iCs w:val="false"/>
          <w:color w:val="1A1A1A"/>
          <w:sz w:val="17"/>
          <w:szCs w:val="17"/>
        </w:rPr>
        <w:t xml:space="preserve">Ergonomics Regulations, 2019, GN R.1589, Government Gazette 42894, 6 December 2019, made under the Occupational Health and Safety Act 85 of 1993</w:t>
      </w:r>
    </w:p>
    <w:p>
      <w:pPr>
        <w:pStyle w:val="ListParagraph"/>
        <w:numPr>
          <w:ilvl w:val="0"/>
          <w:numId w:val="2"/>
        </w:numPr>
        <w:spacing w:after="60"/>
      </w:pPr>
      <w:r>
        <w:rPr>
          <w:rFonts w:ascii="Arial" w:cs="Arial" w:eastAsia="Arial" w:hAnsi="Arial"/>
          <w:b w:val="false"/>
          <w:bCs w:val="false"/>
          <w:i w:val="false"/>
          <w:iCs w:val="false"/>
          <w:color w:val="1A1A1A"/>
          <w:sz w:val="17"/>
          <w:szCs w:val="17"/>
        </w:rPr>
        <w:t xml:space="preserve">Compensation for Occupational Injuries and Diseases Act 130 of 1993, as amended by the Compensation for Occupational Injuries and Diseases Amendment Act 10 of 2022</w:t>
      </w:r>
    </w:p>
    <w:p>
      <w:pPr>
        <w:pStyle w:val="ListParagraph"/>
        <w:numPr>
          <w:ilvl w:val="0"/>
          <w:numId w:val="2"/>
        </w:numPr>
        <w:spacing w:after="60"/>
      </w:pPr>
      <w:r>
        <w:rPr>
          <w:rFonts w:ascii="Arial" w:cs="Arial" w:eastAsia="Arial" w:hAnsi="Arial"/>
          <w:b w:val="false"/>
          <w:bCs w:val="false"/>
          <w:i w:val="false"/>
          <w:iCs w:val="false"/>
          <w:color w:val="1A1A1A"/>
          <w:sz w:val="17"/>
          <w:szCs w:val="17"/>
        </w:rPr>
        <w:t xml:space="preserve">Employment Equity Act 55 of 1998, section 7 (medical testing)</w:t>
      </w:r>
    </w:p>
    <w:p>
      <w:pPr>
        <w:pStyle w:val="ListParagraph"/>
        <w:numPr>
          <w:ilvl w:val="0"/>
          <w:numId w:val="2"/>
        </w:numPr>
        <w:spacing w:after="60"/>
      </w:pPr>
      <w:r>
        <w:rPr>
          <w:rFonts w:ascii="Arial" w:cs="Arial" w:eastAsia="Arial" w:hAnsi="Arial"/>
          <w:b w:val="false"/>
          <w:bCs w:val="false"/>
          <w:i w:val="false"/>
          <w:iCs w:val="false"/>
          <w:color w:val="1A1A1A"/>
          <w:sz w:val="17"/>
          <w:szCs w:val="17"/>
        </w:rPr>
        <w:t xml:space="preserve">Basic Conditions of Employment Act 75 of 1997, section 17(3), read with the Code of Good Practice on the Arrangement of Working Time</w:t>
      </w:r>
    </w:p>
    <w:p>
      <w:pPr>
        <w:pStyle w:val="ListParagraph"/>
        <w:numPr>
          <w:ilvl w:val="0"/>
          <w:numId w:val="2"/>
        </w:numPr>
        <w:spacing w:after="60"/>
      </w:pPr>
      <w:r>
        <w:rPr>
          <w:rFonts w:ascii="Arial" w:cs="Arial" w:eastAsia="Arial" w:hAnsi="Arial"/>
          <w:b w:val="false"/>
          <w:bCs w:val="false"/>
          <w:i w:val="false"/>
          <w:iCs w:val="false"/>
          <w:color w:val="1A1A1A"/>
          <w:sz w:val="17"/>
          <w:szCs w:val="17"/>
        </w:rPr>
        <w:t xml:space="preserve">National Road Traffic Act 93 of 1996, read with the National Road Traffic Regulations, Professional Driving Permit medical fitness provisions</w:t>
      </w:r>
    </w:p>
    <w:p>
      <w:pPr>
        <w:pStyle w:val="ListParagraph"/>
        <w:numPr>
          <w:ilvl w:val="0"/>
          <w:numId w:val="2"/>
        </w:numPr>
        <w:spacing w:after="60"/>
      </w:pPr>
      <w:r>
        <w:rPr>
          <w:rFonts w:ascii="Arial" w:cs="Arial" w:eastAsia="Arial" w:hAnsi="Arial"/>
          <w:b w:val="false"/>
          <w:bCs w:val="false"/>
          <w:i w:val="false"/>
          <w:iCs w:val="false"/>
          <w:color w:val="1A1A1A"/>
          <w:sz w:val="17"/>
          <w:szCs w:val="17"/>
        </w:rPr>
        <w:t xml:space="preserve">HPCSA General Ethical Guidelines for the Health Care Professions, Booklet 1, December 2021 revision</w:t>
      </w:r>
    </w:p>
    <w:p>
      <w:pPr>
        <w:pStyle w:val="ListParagraph"/>
        <w:numPr>
          <w:ilvl w:val="0"/>
          <w:numId w:val="2"/>
        </w:numPr>
        <w:spacing w:after="60"/>
      </w:pPr>
      <w:r>
        <w:rPr>
          <w:rFonts w:ascii="Arial" w:cs="Arial" w:eastAsia="Arial" w:hAnsi="Arial"/>
          <w:b w:val="false"/>
          <w:bCs w:val="false"/>
          <w:i w:val="false"/>
          <w:iCs w:val="false"/>
          <w:color w:val="1A1A1A"/>
          <w:sz w:val="17"/>
          <w:szCs w:val="17"/>
        </w:rPr>
        <w:t xml:space="preserve">HPCSA General Ethical Guidelines for Good Practice in Telehealth, Booklet 10, revised December 2021</w:t>
      </w:r>
    </w:p>
    <w:p>
      <w:pPr>
        <w:pStyle w:val="ListParagraph"/>
        <w:numPr>
          <w:ilvl w:val="0"/>
          <w:numId w:val="2"/>
        </w:numPr>
        <w:spacing w:after="60"/>
      </w:pPr>
      <w:r>
        <w:rPr>
          <w:rFonts w:ascii="Arial" w:cs="Arial" w:eastAsia="Arial" w:hAnsi="Arial"/>
          <w:b w:val="false"/>
          <w:bCs w:val="false"/>
          <w:i w:val="false"/>
          <w:iCs w:val="false"/>
          <w:color w:val="1A1A1A"/>
          <w:sz w:val="17"/>
          <w:szCs w:val="17"/>
        </w:rPr>
        <w:t xml:space="preserve">HPCSA Guidelines on Over Servicing, Perverse Incentives and Related Matters, Booklet 11</w:t>
      </w:r>
    </w:p>
    <w:sectPr>
      <w:headerReference w:type="default" r:id="rId7"/>
      <w:footerReference w:type="default" r:id="rId8"/>
      <w:pgSz w:w="11906" w:h="16838" w:orient="portrait"/>
      <w:pgMar w:top="2892" w:right="1417" w:bottom="3207" w:left="1417" w:header="504" w:footer="504"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72"/>
      </w:tabs>
      <w:spacing w:after="40"/>
    </w:pPr>
    <w:r>
      <w:rPr>
        <w:rFonts w:ascii="Arial" w:cs="Arial" w:eastAsia="Arial" w:hAnsi="Arial"/>
        <w:i/>
        <w:iCs/>
        <w:color w:val="1A1A1A"/>
        <w:sz w:val="14"/>
        <w:szCs w:val="14"/>
      </w:rPr>
      <w:t xml:space="preserve">Proudly prepared by the Care Net Consultants Team. Your Partner in Workplace Health.</w:t>
    </w:r>
    <w:r>
      <w:rPr>
        <w:rFonts w:ascii="Arial" w:cs="Arial" w:eastAsia="Arial" w:hAnsi="Arial"/>
      </w:rPr>
      <w:t xml:space="preserve">	</w:t>
    </w:r>
    <w:r>
      <w:rPr>
        <w:rFonts w:ascii="Arial" w:cs="Arial" w:eastAsia="Arial" w:hAnsi="Arial"/>
        <w:color w:val="1A1A1A"/>
        <w:sz w:val="14"/>
        <w:szCs w:val="14"/>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p>
    <w:pPr>
      <w:jc w:val="center"/>
    </w:pPr>
    <w:r>
      <w:drawing>
        <wp:inline distT="0" distB="0" distL="0" distR="0">
          <wp:extent cx="5762625" cy="1533525"/>
          <wp:effectExtent t="0" r="0" b="0" l="0"/>
          <wp:docPr id="1" name="cnc-footer" descr="Care Net Consultants letterhead footer" title="Care Net Consultants foo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5762625" cy="1533525"/>
                  </a:xfrm>
                  <a:prstGeom prst="rect">
                    <a:avLst/>
                  </a:prstGeom>
                </pic:spPr>
              </pic:pic>
            </a:graphicData>
          </a:graphic>
        </wp:inline>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072"/>
      <w:tblBorders>
        <w:top w:val="none"/>
        <w:left w:val="none"/>
        <w:bottom w:val="none"/>
        <w:right w:val="none"/>
        <w:insideH w:val="none"/>
        <w:insideV w:val="none"/>
      </w:tblBorders>
    </w:tblPr>
    <w:tblGrid>
      <w:gridCol w:w="6500"/>
      <w:gridCol w:w="2572"/>
    </w:tblGrid>
    <w:tr>
      <w:tc>
        <w:tcPr>
          <w:tcW w:type="dxa" w:w="6500"/>
          <w:vAlign w:val="center"/>
        </w:tcPr>
        <w:p>
          <w:r>
            <w:drawing>
              <wp:inline distT="0" distB="0" distL="0" distR="0">
                <wp:extent cx="4191000" cy="971550"/>
                <wp:effectExtent t="0" r="0" b="0" l="0"/>
                <wp:docPr id="1" name="cnc-banner" descr="Care Net Consultants brand banner" title="Care Net Consulta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4191000" cy="971550"/>
                        </a:xfrm>
                        <a:prstGeom prst="rect">
                          <a:avLst/>
                        </a:prstGeom>
                      </pic:spPr>
                    </pic:pic>
                  </a:graphicData>
                </a:graphic>
              </wp:inline>
            </w:drawing>
          </w:r>
        </w:p>
      </w:tc>
      <w:tc>
        <w:tcPr>
          <w:tcW w:type="dxa" w:w="2572"/>
          <w:vAlign w:val="center"/>
        </w:tcPr>
        <w:p>
          <w:pPr>
            <w:jc w:val="right"/>
          </w:pPr>
          <w:r>
            <w:drawing>
              <wp:inline distT="0" distB="0" distL="0" distR="0">
                <wp:extent cx="1238250" cy="304800"/>
                <wp:effectExtent t="0" r="0" b="0" l="0"/>
                <wp:docPr id="1" name="client-logo" descr="Client brand mark" title="Clien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none"/>
                        <a:srcRect/>
                        <a:stretch>
                          <a:fillRect/>
                        </a:stretch>
                      </pic:blipFill>
                      <pic:spPr bwMode="auto">
                        <a:xfrm>
                          <a:off x="0" y="0"/>
                          <a:ext cx="1238250" cy="304800"/>
                        </a:xfrm>
                        <a:prstGeom prst="rect">
                          <a:avLst/>
                        </a:prstGeom>
                      </pic:spPr>
                    </pic:pic>
                  </a:graphicData>
                </a:graphic>
              </wp:inline>
            </w:drawing>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Relationship Id="rId0" Type="http://schemas.openxmlformats.org/officeDocument/2006/relationships/image" Target="media/84013e288e23cd3e28e2a65bb730e08fd60c1908.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46b6aed3ee6fd9911fc4689d559730e3b7b0177d.png"/><Relationship Id="rId1" Type="http://schemas.openxmlformats.org/officeDocument/2006/relationships/image" Target="media/58c78175a4bc99a1e53079583d07aadf32ac4608.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2026-08-13T10:14:50.485Z</dcterms:created>
  <dcterms:modified xsi:type="dcterms:W3CDTF">2026-08-13T10:14:50.502Z</dcterms:modified>
</cp:coreProperties>
</file>

<file path=docProps/custom.xml><?xml version="1.0" encoding="utf-8"?>
<Properties xmlns="http://schemas.openxmlformats.org/officeDocument/2006/custom-properties" xmlns:vt="http://schemas.openxmlformats.org/officeDocument/2006/docPropsVTypes"/>
</file>