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color w:val="C1272D"/>
          <w:sz w:val="18"/>
          <w:szCs w:val="18"/>
        </w:rPr>
        <w:t xml:space="preserve">EXAMPLE DOCUMENT. Katlagter Earthmoving Services (Pty) Ltd is a fictitious company. Every company, person, address, date, figure and reference number in this example is made up; only the Care Net letterhead and any public emergency number are real. For guidance only; not a document to sign or rely on.</w:t>
      </w:r>
    </w:p>
    <w:p>
      <w:pPr>
        <w:spacing w:after="120"/>
      </w:pPr>
      <w:r>
        <w:rPr>
          <w:rFonts w:ascii="Arial" w:cs="Arial" w:eastAsia="Arial" w:hAnsi="Arial"/>
          <w:b/>
          <w:bCs/>
          <w:color w:val="C1272D"/>
          <w:sz w:val="22"/>
          <w:szCs w:val="22"/>
        </w:rPr>
        <w:t xml:space="preserve">Example for a Health and Safety File, Section N: Audit, review and improvement</w:t>
      </w:r>
    </w:p>
    <w:p>
      <w:pPr>
        <w:pStyle w:val="Heading1"/>
        <w:keepNext/>
        <w:spacing w:after="160" w:before="120"/>
      </w:pPr>
      <w:r>
        <w:rPr>
          <w:rFonts w:ascii="Arial" w:cs="Arial" w:eastAsia="Arial" w:hAnsi="Arial"/>
          <w:b/>
          <w:bCs/>
          <w:color w:val="8B0000"/>
          <w:sz w:val="32"/>
          <w:szCs w:val="32"/>
        </w:rPr>
        <w:t xml:space="preserve">Internal Audit Report: Health and Safety File</w:t>
      </w:r>
    </w:p>
    <w:p>
      <w:pPr>
        <w:spacing w:after="200"/>
      </w:pPr>
      <w:r>
        <w:rPr>
          <w:rFonts w:ascii="Arial" w:cs="Arial" w:eastAsia="Arial" w:hAnsi="Arial"/>
          <w:b/>
          <w:bCs/>
          <w:color w:val="1E1E1E"/>
          <w:sz w:val="24"/>
          <w:szCs w:val="24"/>
        </w:rPr>
        <w:t xml:space="preserve">Audit of the File for the Polokwane workshop, 8 and 9 June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tblHeader/>
        </w:trPr>
        <w:tc>
          <w:tcPr>
            <w:tcW w:type="dxa" w:w="2888"/>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About this example</w:t>
            </w:r>
          </w:p>
        </w:tc>
        <w:tc>
          <w:tcPr>
            <w:tcW w:type="dxa" w:w="6138"/>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Detail</w:t>
            </w:r>
          </w:p>
        </w:tc>
      </w:tr>
      <w:tr>
        <w:trPr>
          <w:cantSplit/>
        </w:trP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Company in the example</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Katlagter Earthmoving Services (Pty) Ltd, a fictitious company</w:t>
            </w:r>
          </w:p>
        </w:tc>
      </w:tr>
      <w:tr>
        <w:trPr>
          <w:cantSplit/>
        </w:trPr>
        <w:tc>
          <w:tcPr>
            <w:tcW w:type="dxa" w:w="288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Where it is filed</w:t>
            </w:r>
          </w:p>
        </w:tc>
        <w:tc>
          <w:tcPr>
            <w:tcW w:type="dxa" w:w="613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Section N: Audit, review and improvement</w:t>
            </w:r>
          </w:p>
        </w:tc>
      </w:tr>
      <w:tr>
        <w:trPr>
          <w:cantSplit/>
        </w:trP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Published by</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Care Net Consultants, as guidance for companies building a Health and Safety File</w:t>
            </w:r>
          </w:p>
        </w:tc>
      </w:tr>
    </w:tbl>
    <w:p>
      <w:pPr>
        <w:spacing w:after="120"/>
      </w:pPr>
    </w:p>
    <w:p>
      <w:pPr>
        <w:pStyle w:val="Heading2"/>
        <w:keepNext/>
        <w:spacing w:after="120" w:before="240"/>
      </w:pPr>
      <w:r>
        <w:rPr>
          <w:rFonts w:ascii="Arial" w:cs="Arial" w:eastAsia="Arial" w:hAnsi="Arial"/>
          <w:b/>
          <w:bCs/>
          <w:color w:val="C1272D"/>
          <w:sz w:val="28"/>
          <w:szCs w:val="28"/>
        </w:rPr>
        <w:t xml:space="preserve">How to use this example</w:t>
      </w:r>
    </w:p>
    <w:p>
      <w:pPr>
        <w:spacing w:after="120" w:line="360" w:lineRule="auto"/>
        <w:jc w:val="both"/>
      </w:pPr>
      <w:r>
        <w:rPr>
          <w:rFonts w:ascii="Arial" w:cs="Arial" w:eastAsia="Arial" w:hAnsi="Arial"/>
          <w:color w:val="1E1E1E"/>
          <w:sz w:val="24"/>
          <w:szCs w:val="24"/>
        </w:rPr>
        <w:t xml:space="preserve">This example shows the form and content Care Net recommends for this document in a Health and Safety File. Adapt it to your company, your sites and your appointments; your registered Health and Safety practitioner confirms it before your File is released. Not legal advice.</w:t>
      </w:r>
    </w:p>
    <w:p>
      <w:pPr>
        <w:pStyle w:val="Heading2"/>
        <w:keepNext/>
        <w:spacing w:after="120" w:before="240"/>
      </w:pPr>
      <w:r>
        <w:rPr>
          <w:rFonts w:ascii="Arial" w:cs="Arial" w:eastAsia="Arial" w:hAnsi="Arial"/>
          <w:b/>
          <w:bCs/>
          <w:color w:val="C1272D"/>
          <w:sz w:val="28"/>
          <w:szCs w:val="28"/>
        </w:rPr>
        <w:t xml:space="preserve">Contents</w:t>
      </w:r>
    </w:p>
    <w:p>
      <w:pPr>
        <w:spacing w:after="40" w:line="300" w:lineRule="auto"/>
      </w:pPr>
      <w:r>
        <w:rPr>
          <w:rFonts w:ascii="Arial" w:cs="Arial" w:eastAsia="Arial" w:hAnsi="Arial"/>
          <w:color w:val="1E1E1E"/>
          <w:sz w:val="24"/>
          <w:szCs w:val="24"/>
        </w:rPr>
        <w:t xml:space="preserve">1. Audit details</w:t>
      </w:r>
    </w:p>
    <w:p>
      <w:pPr>
        <w:spacing w:after="40" w:line="300" w:lineRule="auto"/>
      </w:pPr>
      <w:r>
        <w:rPr>
          <w:rFonts w:ascii="Arial" w:cs="Arial" w:eastAsia="Arial" w:hAnsi="Arial"/>
          <w:color w:val="1E1E1E"/>
          <w:sz w:val="24"/>
          <w:szCs w:val="24"/>
        </w:rPr>
        <w:t xml:space="preserve">2. Scope</w:t>
      </w:r>
    </w:p>
    <w:p>
      <w:pPr>
        <w:spacing w:after="40" w:line="300" w:lineRule="auto"/>
      </w:pPr>
      <w:r>
        <w:rPr>
          <w:rFonts w:ascii="Arial" w:cs="Arial" w:eastAsia="Arial" w:hAnsi="Arial"/>
          <w:color w:val="1E1E1E"/>
          <w:sz w:val="24"/>
          <w:szCs w:val="24"/>
        </w:rPr>
        <w:t xml:space="preserve">3. Method</w:t>
      </w:r>
    </w:p>
    <w:p>
      <w:pPr>
        <w:spacing w:after="40" w:line="300" w:lineRule="auto"/>
      </w:pPr>
      <w:r>
        <w:rPr>
          <w:rFonts w:ascii="Arial" w:cs="Arial" w:eastAsia="Arial" w:hAnsi="Arial"/>
          <w:color w:val="1E1E1E"/>
          <w:sz w:val="24"/>
          <w:szCs w:val="24"/>
        </w:rPr>
        <w:t xml:space="preserve">4. How findings are graded</w:t>
      </w:r>
    </w:p>
    <w:p>
      <w:pPr>
        <w:spacing w:after="40" w:line="300" w:lineRule="auto"/>
      </w:pPr>
      <w:r>
        <w:rPr>
          <w:rFonts w:ascii="Arial" w:cs="Arial" w:eastAsia="Arial" w:hAnsi="Arial"/>
          <w:color w:val="1E1E1E"/>
          <w:sz w:val="24"/>
          <w:szCs w:val="24"/>
        </w:rPr>
        <w:t xml:space="preserve">5. Findings</w:t>
      </w:r>
    </w:p>
    <w:p>
      <w:pPr>
        <w:spacing w:after="40" w:line="300" w:lineRule="auto"/>
      </w:pPr>
      <w:r>
        <w:rPr>
          <w:rFonts w:ascii="Arial" w:cs="Arial" w:eastAsia="Arial" w:hAnsi="Arial"/>
          <w:color w:val="1E1E1E"/>
          <w:sz w:val="24"/>
          <w:szCs w:val="24"/>
        </w:rPr>
        <w:t xml:space="preserve">6. Corrective actions</w:t>
      </w:r>
    </w:p>
    <w:p>
      <w:pPr>
        <w:spacing w:after="40" w:line="300" w:lineRule="auto"/>
      </w:pPr>
      <w:r>
        <w:rPr>
          <w:rFonts w:ascii="Arial" w:cs="Arial" w:eastAsia="Arial" w:hAnsi="Arial"/>
          <w:color w:val="1E1E1E"/>
          <w:sz w:val="24"/>
          <w:szCs w:val="24"/>
        </w:rPr>
        <w:t xml:space="preserve">7. Management review note</w:t>
      </w:r>
    </w:p>
    <w:p>
      <w:pPr>
        <w:sectPr>
          <w:headerReference w:type="default" r:id="rId7"/>
          <w:footerReference w:type="default" r:id="rId8"/>
          <w:pgSz w:w="11906" w:h="16838" w:orient="portrait"/>
          <w:pgMar w:top="2520" w:right="1440" w:bottom="2700" w:left="1440" w:header="425" w:footer="708" w:gutter="0"/>
          <w:pgNumType/>
          <w:docGrid w:linePitch="360"/>
        </w:sectPr>
      </w:pPr>
    </w:p>
    <w:p>
      <w:pPr>
        <w:pStyle w:val="Heading1"/>
        <w:keepNext/>
        <w:spacing w:after="160" w:before="120"/>
      </w:pPr>
      <w:r>
        <w:rPr>
          <w:rFonts w:ascii="Arial" w:cs="Arial" w:eastAsia="Arial" w:hAnsi="Arial"/>
          <w:b/>
          <w:bCs/>
          <w:color w:val="8B0000"/>
          <w:sz w:val="32"/>
          <w:szCs w:val="32"/>
        </w:rPr>
        <w:t xml:space="preserve">Internal Audit Report: Health and Safety File</w:t>
      </w:r>
    </w:p>
    <w:p>
      <w:pPr>
        <w:spacing w:after="200"/>
      </w:pPr>
      <w:r>
        <w:rPr>
          <w:rFonts w:ascii="Arial" w:cs="Arial" w:eastAsia="Arial" w:hAnsi="Arial"/>
          <w:b/>
          <w:bCs/>
          <w:color w:val="1E1E1E"/>
          <w:sz w:val="24"/>
          <w:szCs w:val="24"/>
        </w:rPr>
        <w:t xml:space="preserve">Audit of the File for the Polokwane workshop, 8 and 9 June 2026</w:t>
      </w:r>
    </w:p>
    <w:p>
      <w:pPr>
        <w:pStyle w:val="Heading2"/>
        <w:keepNext/>
        <w:spacing w:after="120" w:before="240"/>
      </w:pPr>
      <w:r>
        <w:rPr>
          <w:rFonts w:ascii="Arial" w:cs="Arial" w:eastAsia="Arial" w:hAnsi="Arial"/>
          <w:b/>
          <w:bCs/>
          <w:color w:val="C1272D"/>
          <w:sz w:val="28"/>
          <w:szCs w:val="28"/>
        </w:rPr>
        <w:t xml:space="preserve">1. Audit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tblHeader/>
        </w:trPr>
        <w:tc>
          <w:tcPr>
            <w:tcW w:type="dxa" w:w="2527"/>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Item</w:t>
            </w:r>
          </w:p>
        </w:tc>
        <w:tc>
          <w:tcPr>
            <w:tcW w:type="dxa" w:w="6499"/>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Detail</w:t>
            </w:r>
          </w:p>
        </w:tc>
      </w:tr>
      <w:tr>
        <w:trPr>
          <w:cantSplit/>
        </w:trP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Audited site</w:t>
            </w:r>
          </w:p>
        </w:tc>
        <w:tc>
          <w:tcPr>
            <w:tcW w:type="dxa" w:w="64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Polokwane workshop and yard, 16 Mopani Crescent, Ladanna, Polokwane</w:t>
            </w:r>
          </w:p>
        </w:tc>
      </w:tr>
      <w:tr>
        <w:trPr>
          <w:cantSplit/>
        </w:trPr>
        <w:tc>
          <w:tcPr>
            <w:tcW w:type="dxa" w:w="252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Audit dates</w:t>
            </w:r>
          </w:p>
        </w:tc>
        <w:tc>
          <w:tcPr>
            <w:tcW w:type="dxa" w:w="6499"/>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Monday 8 June and Tuesday 9 June 2026; report issued 16 June 2026</w:t>
            </w:r>
          </w:p>
        </w:tc>
      </w:tr>
      <w:tr>
        <w:trPr>
          <w:cantSplit/>
        </w:trP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Lead auditor</w:t>
            </w:r>
          </w:p>
        </w:tc>
        <w:tc>
          <w:tcPr>
            <w:tcW w:type="dxa" w:w="64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Nomsa Maluleke, registered health and safety practitioner (registration with the professional body checked and a copy kept on the audit file)</w:t>
            </w:r>
          </w:p>
        </w:tc>
      </w:tr>
      <w:tr>
        <w:trPr>
          <w:cantSplit/>
        </w:trPr>
        <w:tc>
          <w:tcPr>
            <w:tcW w:type="dxa" w:w="252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Auditee</w:t>
            </w:r>
          </w:p>
        </w:tc>
        <w:tc>
          <w:tcPr>
            <w:tcW w:type="dxa" w:w="6499"/>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Frans Venter, Workshop Manager (appointed under section 16(2))</w:t>
            </w:r>
          </w:p>
        </w:tc>
      </w:tr>
    </w:tbl>
    <w:p>
      <w:pPr>
        <w:spacing w:after="120"/>
      </w:pPr>
    </w:p>
    <w:p>
      <w:pPr>
        <w:pStyle w:val="Heading2"/>
        <w:keepNext/>
        <w:spacing w:after="120" w:before="240"/>
      </w:pPr>
      <w:r>
        <w:rPr>
          <w:rFonts w:ascii="Arial" w:cs="Arial" w:eastAsia="Arial" w:hAnsi="Arial"/>
          <w:b/>
          <w:bCs/>
          <w:color w:val="C1272D"/>
          <w:sz w:val="28"/>
          <w:szCs w:val="28"/>
        </w:rPr>
        <w:t xml:space="preserve">2. Scope</w:t>
      </w:r>
    </w:p>
    <w:p>
      <w:pPr>
        <w:spacing w:after="120" w:line="360" w:lineRule="auto"/>
        <w:jc w:val="both"/>
      </w:pPr>
      <w:r>
        <w:rPr>
          <w:rFonts w:ascii="Arial" w:cs="Arial" w:eastAsia="Arial" w:hAnsi="Arial"/>
          <w:color w:val="1E1E1E"/>
          <w:sz w:val="24"/>
          <w:szCs w:val="24"/>
        </w:rPr>
        <w:t xml:space="preserve">All fifteen sections of the Health and Safety File for the Polokwane workshop, Section A to Section O, for the period 1 June 2025 to 31 May 2026. The company's construction sites are audited separately.</w:t>
      </w:r>
    </w:p>
    <w:p>
      <w:pPr>
        <w:pStyle w:val="Heading2"/>
        <w:keepNext/>
        <w:spacing w:after="120" w:before="240"/>
      </w:pPr>
      <w:r>
        <w:rPr>
          <w:rFonts w:ascii="Arial" w:cs="Arial" w:eastAsia="Arial" w:hAnsi="Arial"/>
          <w:b/>
          <w:bCs/>
          <w:color w:val="C1272D"/>
          <w:sz w:val="28"/>
          <w:szCs w:val="28"/>
        </w:rPr>
        <w:t xml:space="preserve">3. Method</w:t>
      </w:r>
    </w:p>
    <w:p>
      <w:pPr>
        <w:pStyle w:val="ListParagraph"/>
        <w:numPr>
          <w:ilvl w:val="0"/>
          <w:numId w:val="2"/>
        </w:numPr>
        <w:spacing w:after="60" w:line="360" w:lineRule="auto"/>
        <w:jc w:val="both"/>
      </w:pPr>
      <w:r>
        <w:rPr>
          <w:rFonts w:ascii="Arial" w:cs="Arial" w:eastAsia="Arial" w:hAnsi="Arial"/>
          <w:color w:val="1E1E1E"/>
          <w:sz w:val="24"/>
          <w:szCs w:val="24"/>
        </w:rPr>
        <w:t xml:space="preserve">Opening meeting with the Workshop Manager and the health and safety representatives on 8 June 2026.</w:t>
      </w:r>
    </w:p>
    <w:p>
      <w:pPr>
        <w:pStyle w:val="ListParagraph"/>
        <w:numPr>
          <w:ilvl w:val="0"/>
          <w:numId w:val="2"/>
        </w:numPr>
        <w:spacing w:after="60" w:line="360" w:lineRule="auto"/>
        <w:jc w:val="both"/>
      </w:pPr>
      <w:r>
        <w:rPr>
          <w:rFonts w:ascii="Arial" w:cs="Arial" w:eastAsia="Arial" w:hAnsi="Arial"/>
          <w:color w:val="1E1E1E"/>
          <w:sz w:val="24"/>
          <w:szCs w:val="24"/>
        </w:rPr>
        <w:t xml:space="preserve">Document review of all fifteen sections against the File index and the legal register; site walk through the workshop, wash bay, stores and yard.</w:t>
      </w:r>
    </w:p>
    <w:p>
      <w:pPr>
        <w:pStyle w:val="ListParagraph"/>
        <w:numPr>
          <w:ilvl w:val="0"/>
          <w:numId w:val="2"/>
        </w:numPr>
        <w:spacing w:after="60" w:line="360" w:lineRule="auto"/>
        <w:jc w:val="both"/>
      </w:pPr>
      <w:r>
        <w:rPr>
          <w:rFonts w:ascii="Arial" w:cs="Arial" w:eastAsia="Arial" w:hAnsi="Arial"/>
          <w:color w:val="1E1E1E"/>
          <w:sz w:val="24"/>
          <w:szCs w:val="24"/>
        </w:rPr>
        <w:t xml:space="preserve">Interviews with eight employees, two representatives and one contractor supervisor, and a closing meeting on 9 June 2026 where the findings were accepted.</w:t>
      </w:r>
    </w:p>
    <w:p>
      <w:pPr>
        <w:pStyle w:val="Heading2"/>
        <w:keepNext/>
        <w:spacing w:after="120" w:before="240"/>
      </w:pPr>
      <w:r>
        <w:rPr>
          <w:rFonts w:ascii="Arial" w:cs="Arial" w:eastAsia="Arial" w:hAnsi="Arial"/>
          <w:b/>
          <w:bCs/>
          <w:color w:val="C1272D"/>
          <w:sz w:val="28"/>
          <w:szCs w:val="28"/>
        </w:rPr>
        <w:t xml:space="preserve">4. How findings are graded</w:t>
      </w:r>
    </w:p>
    <w:p>
      <w:pPr>
        <w:spacing w:after="120" w:line="360" w:lineRule="auto"/>
        <w:jc w:val="both"/>
      </w:pPr>
      <w:r>
        <w:rPr>
          <w:rFonts w:ascii="Arial" w:cs="Arial" w:eastAsia="Arial" w:hAnsi="Arial"/>
          <w:b/>
          <w:bCs/>
          <w:color w:val="1E1E1E"/>
          <w:sz w:val="24"/>
          <w:szCs w:val="24"/>
        </w:rPr>
        <w:t xml:space="preserve">Major</w:t>
      </w:r>
      <w:r>
        <w:rPr>
          <w:rFonts w:ascii="Arial" w:cs="Arial" w:eastAsia="Arial" w:hAnsi="Arial"/>
          <w:color w:val="1E1E1E"/>
          <w:sz w:val="24"/>
          <w:szCs w:val="24"/>
        </w:rPr>
        <w:t xml:space="preserve">: a required document or control is missing, or a person may be in danger. </w:t>
      </w:r>
      <w:r>
        <w:rPr>
          <w:rFonts w:ascii="Arial" w:cs="Arial" w:eastAsia="Arial" w:hAnsi="Arial"/>
          <w:b/>
          <w:bCs/>
          <w:color w:val="1E1E1E"/>
          <w:sz w:val="24"/>
          <w:szCs w:val="24"/>
        </w:rPr>
        <w:t xml:space="preserve">Minor</w:t>
      </w:r>
      <w:r>
        <w:rPr>
          <w:rFonts w:ascii="Arial" w:cs="Arial" w:eastAsia="Arial" w:hAnsi="Arial"/>
          <w:color w:val="1E1E1E"/>
          <w:sz w:val="24"/>
          <w:szCs w:val="24"/>
        </w:rPr>
        <w:t xml:space="preserve">: a document or control exists but is incomplete, out of date or not always followed. </w:t>
      </w:r>
      <w:r>
        <w:rPr>
          <w:rFonts w:ascii="Arial" w:cs="Arial" w:eastAsia="Arial" w:hAnsi="Arial"/>
          <w:b/>
          <w:bCs/>
          <w:color w:val="1E1E1E"/>
          <w:sz w:val="24"/>
          <w:szCs w:val="24"/>
        </w:rPr>
        <w:t xml:space="preserve">Observation</w:t>
      </w:r>
      <w:r>
        <w:rPr>
          <w:rFonts w:ascii="Arial" w:cs="Arial" w:eastAsia="Arial" w:hAnsi="Arial"/>
          <w:color w:val="1E1E1E"/>
          <w:sz w:val="24"/>
          <w:szCs w:val="24"/>
        </w:rPr>
        <w:t xml:space="preserve">: not a gap yet, but a chance to improve.</w:t>
      </w:r>
    </w:p>
    <w:p>
      <w:pPr>
        <w:pStyle w:val="Heading2"/>
        <w:keepNext/>
        <w:spacing w:after="120" w:before="240"/>
      </w:pPr>
      <w:r>
        <w:rPr>
          <w:rFonts w:ascii="Arial" w:cs="Arial" w:eastAsia="Arial" w:hAnsi="Arial"/>
          <w:b/>
          <w:bCs/>
          <w:color w:val="C1272D"/>
          <w:sz w:val="28"/>
          <w:szCs w:val="28"/>
        </w:rPr>
        <w:t xml:space="preserve">5. Findings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1173"/>
        <w:gridCol w:w="5867"/>
        <w:gridCol w:w="1354"/>
      </w:tblGrid>
      <w:tr>
        <w:trPr>
          <w:tblHeader/>
        </w:trPr>
        <w:tc>
          <w:tcPr>
            <w:tcW w:type="dxa" w:w="632"/>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No.</w:t>
            </w:r>
          </w:p>
        </w:tc>
        <w:tc>
          <w:tcPr>
            <w:tcW w:type="dxa" w:w="1173"/>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Section</w:t>
            </w:r>
          </w:p>
        </w:tc>
        <w:tc>
          <w:tcPr>
            <w:tcW w:type="dxa" w:w="5867"/>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Finding</w:t>
            </w:r>
          </w:p>
        </w:tc>
        <w:tc>
          <w:tcPr>
            <w:tcW w:type="dxa" w:w="1354"/>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Grade</w:t>
            </w:r>
          </w:p>
        </w:tc>
      </w:tr>
      <w:tr>
        <w:trPr>
          <w:cantSplit/>
        </w:trPr>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B</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The written appointment of the machinery supervisor for the workshop expired in March 2026 and was not renewed.</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Major</w:t>
            </w:r>
          </w:p>
        </w:tc>
      </w:tr>
      <w:tr>
        <w:trPr>
          <w:cantSplit/>
        </w:trPr>
        <w:tc>
          <w:tcPr>
            <w:tcW w:type="dxa" w:w="63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2</w:t>
            </w:r>
          </w:p>
        </w:tc>
        <w:tc>
          <w:tcPr>
            <w:tcW w:type="dxa" w:w="117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w:t>
            </w:r>
          </w:p>
        </w:tc>
        <w:tc>
          <w:tcPr>
            <w:tcW w:type="dxa" w:w="586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The task based risk assessment for tyre changing on haul trucks was not signed by the employees who do the work.</w:t>
            </w:r>
          </w:p>
        </w:tc>
        <w:tc>
          <w:tcPr>
            <w:tcW w:type="dxa" w:w="135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Minor</w:t>
            </w:r>
          </w:p>
        </w:tc>
      </w:tr>
      <w:tr>
        <w:trPr>
          <w:cantSplit/>
        </w:trPr>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3</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D</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Two of the eleven forklift operators have no record of refresher training on file.</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Minor</w:t>
            </w:r>
          </w:p>
        </w:tc>
      </w:tr>
      <w:tr>
        <w:trPr>
          <w:cantSplit/>
        </w:trPr>
        <w:tc>
          <w:tcPr>
            <w:tcW w:type="dxa" w:w="63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4</w:t>
            </w:r>
          </w:p>
        </w:tc>
        <w:tc>
          <w:tcPr>
            <w:tcW w:type="dxa" w:w="117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E</w:t>
            </w:r>
          </w:p>
        </w:tc>
        <w:tc>
          <w:tcPr>
            <w:tcW w:type="dxa" w:w="586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Certificates of fitness are on file showing outcomes only, as required. Clinical records are held by the occupational health practitioner. No finding.</w:t>
            </w:r>
          </w:p>
        </w:tc>
        <w:tc>
          <w:tcPr>
            <w:tcW w:type="dxa" w:w="135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None</w:t>
            </w:r>
          </w:p>
        </w:tc>
      </w:tr>
      <w:tr>
        <w:trPr>
          <w:cantSplit/>
        </w:trPr>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5</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F</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Portable electrical tool register up to date, but the tags on three grinders in the stores do not match the register.</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Minor</w:t>
            </w:r>
          </w:p>
        </w:tc>
      </w:tr>
      <w:tr>
        <w:trPr>
          <w:cantSplit/>
        </w:trPr>
        <w:tc>
          <w:tcPr>
            <w:tcW w:type="dxa" w:w="63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6</w:t>
            </w:r>
          </w:p>
        </w:tc>
        <w:tc>
          <w:tcPr>
            <w:tcW w:type="dxa" w:w="117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K</w:t>
            </w:r>
          </w:p>
        </w:tc>
        <w:tc>
          <w:tcPr>
            <w:tcW w:type="dxa" w:w="586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The section 37(2) agreement with the tyre contractor is signed, but its contractor File has no current letter of good standing under COIDA.</w:t>
            </w:r>
          </w:p>
        </w:tc>
        <w:tc>
          <w:tcPr>
            <w:tcW w:type="dxa" w:w="135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Major</w:t>
            </w:r>
          </w:p>
        </w:tc>
      </w:tr>
      <w:tr>
        <w:trPr>
          <w:cantSplit/>
        </w:trPr>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7</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N</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Corrective actions from the 2025 audit are closed, but the closure evidence sits in email and not in the File.</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Observation</w:t>
            </w:r>
          </w:p>
        </w:tc>
      </w:tr>
    </w:tbl>
    <w:p>
      <w:pPr>
        <w:spacing w:after="120"/>
      </w:pPr>
    </w:p>
    <w:p>
      <w:pPr>
        <w:pStyle w:val="Heading2"/>
        <w:keepNext/>
        <w:spacing w:after="120" w:before="240"/>
      </w:pPr>
      <w:r>
        <w:rPr>
          <w:rFonts w:ascii="Arial" w:cs="Arial" w:eastAsia="Arial" w:hAnsi="Arial"/>
          <w:b/>
          <w:bCs/>
          <w:color w:val="C1272D"/>
          <w:sz w:val="28"/>
          <w:szCs w:val="28"/>
        </w:rPr>
        <w:t xml:space="preserve">6. Corrective actions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5235"/>
        <w:gridCol w:w="1805"/>
        <w:gridCol w:w="1354"/>
      </w:tblGrid>
      <w:tr>
        <w:trPr>
          <w:tblHeader/>
        </w:trPr>
        <w:tc>
          <w:tcPr>
            <w:tcW w:type="dxa" w:w="632"/>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No.</w:t>
            </w:r>
          </w:p>
        </w:tc>
        <w:tc>
          <w:tcPr>
            <w:tcW w:type="dxa" w:w="5235"/>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Corrective action</w:t>
            </w:r>
          </w:p>
        </w:tc>
        <w:tc>
          <w:tcPr>
            <w:tcW w:type="dxa" w:w="1805"/>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Owner</w:t>
            </w:r>
          </w:p>
        </w:tc>
        <w:tc>
          <w:tcPr>
            <w:tcW w:type="dxa" w:w="1354"/>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Due</w:t>
            </w:r>
          </w:p>
        </w:tc>
      </w:tr>
      <w:tr>
        <w:trPr>
          <w:cantSplit/>
        </w:trPr>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Appoint the machinery supervisor again in writing and file the appointment with the credentials</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Frans Venter</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30/06/2026</w:t>
            </w:r>
          </w:p>
        </w:tc>
      </w:tr>
      <w:tr>
        <w:trPr>
          <w:cantSplit/>
        </w:trPr>
        <w:tc>
          <w:tcPr>
            <w:tcW w:type="dxa" w:w="63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2</w:t>
            </w:r>
          </w:p>
        </w:tc>
        <w:tc>
          <w:tcPr>
            <w:tcW w:type="dxa" w:w="523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Review the tyre changing risk assessment with the team and have it signed</w:t>
            </w:r>
          </w:p>
        </w:tc>
        <w:tc>
          <w:tcPr>
            <w:tcW w:type="dxa" w:w="180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Lindiwe Mathebula</w:t>
            </w:r>
          </w:p>
        </w:tc>
        <w:tc>
          <w:tcPr>
            <w:tcW w:type="dxa" w:w="135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10/07/2026</w:t>
            </w:r>
          </w:p>
        </w:tc>
      </w:tr>
      <w:tr>
        <w:trPr>
          <w:cantSplit/>
        </w:trPr>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3</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Book refresher training for the two forklift operators and file the certificates</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Lindiwe Mathebula</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31/07/2026</w:t>
            </w:r>
          </w:p>
        </w:tc>
      </w:tr>
      <w:tr>
        <w:trPr>
          <w:cantSplit/>
        </w:trPr>
        <w:tc>
          <w:tcPr>
            <w:tcW w:type="dxa" w:w="63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5</w:t>
            </w:r>
          </w:p>
        </w:tc>
        <w:tc>
          <w:tcPr>
            <w:tcW w:type="dxa" w:w="523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Retag the three grinders and bring the register in line</w:t>
            </w:r>
          </w:p>
        </w:tc>
        <w:tc>
          <w:tcPr>
            <w:tcW w:type="dxa" w:w="180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Jacques Olivier</w:t>
            </w:r>
          </w:p>
        </w:tc>
        <w:tc>
          <w:tcPr>
            <w:tcW w:type="dxa" w:w="135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19/06/2026</w:t>
            </w:r>
          </w:p>
        </w:tc>
      </w:tr>
      <w:tr>
        <w:trPr>
          <w:cantSplit/>
        </w:trPr>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6</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Obtain the tyre contractor's current letter of good standing; no work until received</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Frans Venter</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19/06/2026</w:t>
            </w:r>
          </w:p>
        </w:tc>
      </w:tr>
      <w:tr>
        <w:trPr>
          <w:cantSplit/>
        </w:trPr>
        <w:tc>
          <w:tcPr>
            <w:tcW w:type="dxa" w:w="63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7</w:t>
            </w:r>
          </w:p>
        </w:tc>
        <w:tc>
          <w:tcPr>
            <w:tcW w:type="dxa" w:w="523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Move closure evidence into the corrective action log in Section N</w:t>
            </w:r>
          </w:p>
        </w:tc>
        <w:tc>
          <w:tcPr>
            <w:tcW w:type="dxa" w:w="180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Lindiwe Mathebula</w:t>
            </w:r>
          </w:p>
        </w:tc>
        <w:tc>
          <w:tcPr>
            <w:tcW w:type="dxa" w:w="135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31/07/2026</w:t>
            </w:r>
          </w:p>
        </w:tc>
      </w:tr>
    </w:tbl>
    <w:p>
      <w:pPr>
        <w:spacing w:after="120"/>
      </w:pPr>
    </w:p>
    <w:p>
      <w:pPr>
        <w:pStyle w:val="Heading2"/>
        <w:keepNext/>
        <w:spacing w:after="120" w:before="240"/>
      </w:pPr>
      <w:r>
        <w:rPr>
          <w:rFonts w:ascii="Arial" w:cs="Arial" w:eastAsia="Arial" w:hAnsi="Arial"/>
          <w:b/>
          <w:bCs/>
          <w:color w:val="C1272D"/>
          <w:sz w:val="28"/>
          <w:szCs w:val="28"/>
        </w:rPr>
        <w:t xml:space="preserve">7. Management review note</w:t>
      </w:r>
    </w:p>
    <w:p>
      <w:pPr>
        <w:spacing w:after="120" w:line="360" w:lineRule="auto"/>
        <w:jc w:val="both"/>
      </w:pPr>
      <w:r>
        <w:rPr>
          <w:rFonts w:ascii="Arial" w:cs="Arial" w:eastAsia="Arial" w:hAnsi="Arial"/>
          <w:color w:val="1E1E1E"/>
          <w:sz w:val="24"/>
          <w:szCs w:val="24"/>
        </w:rPr>
        <w:t xml:space="preserve">Tabled at the management review on 23 June 2026, chaired by the Managing Director, Tumelo Sekgala. Management accepted all findings and actions, approved the refresher training from the training budget, and asked for appointment expiry dates in the monthly management report. The auditor verifies closure of both Major findings on site in July 2026.</w:t>
      </w:r>
    </w:p>
    <w:p>
      <w:pPr>
        <w:keepNext/>
        <w:spacing w:before="360"/>
      </w:pPr>
    </w:p>
    <w:p>
      <w:pPr>
        <w:keepNext/>
      </w:pPr>
      <w:r>
        <w:rPr>
          <w:rFonts w:ascii="Arial" w:cs="Arial" w:eastAsia="Arial" w:hAnsi="Arial"/>
          <w:sz w:val="24"/>
          <w:szCs w:val="24"/>
        </w:rPr>
        <w:t xml:space="preserve">______________________________</w:t>
      </w:r>
    </w:p>
    <w:p>
      <w:pPr>
        <w:keepNext/>
        <w:spacing w:after="0"/>
      </w:pPr>
      <w:r>
        <w:rPr>
          <w:rFonts w:ascii="Arial" w:cs="Arial" w:eastAsia="Arial" w:hAnsi="Arial"/>
          <w:b/>
          <w:bCs/>
          <w:color w:val="1E1E1E"/>
          <w:sz w:val="24"/>
          <w:szCs w:val="24"/>
        </w:rPr>
        <w:t xml:space="preserve">Lead auditor</w:t>
      </w:r>
    </w:p>
    <w:p>
      <w:pPr>
        <w:keepNext/>
        <w:spacing w:after="120"/>
      </w:pPr>
      <w:r>
        <w:rPr>
          <w:rFonts w:ascii="Arial" w:cs="Arial" w:eastAsia="Arial" w:hAnsi="Arial"/>
          <w:color w:val="1E1E1E"/>
          <w:sz w:val="24"/>
          <w:szCs w:val="24"/>
        </w:rPr>
        <w:t xml:space="preserve">Nomsa Maluleke, Date: ________</w:t>
      </w:r>
    </w:p>
    <w:p>
      <w:pPr>
        <w:keepNext/>
        <w:spacing w:before="360"/>
      </w:pPr>
    </w:p>
    <w:p>
      <w:pPr>
        <w:keepNext/>
      </w:pPr>
      <w:r>
        <w:rPr>
          <w:rFonts w:ascii="Arial" w:cs="Arial" w:eastAsia="Arial" w:hAnsi="Arial"/>
          <w:sz w:val="24"/>
          <w:szCs w:val="24"/>
        </w:rPr>
        <w:t xml:space="preserve">______________________________</w:t>
      </w:r>
    </w:p>
    <w:p>
      <w:pPr>
        <w:keepNext/>
        <w:spacing w:after="0"/>
      </w:pPr>
      <w:r>
        <w:rPr>
          <w:rFonts w:ascii="Arial" w:cs="Arial" w:eastAsia="Arial" w:hAnsi="Arial"/>
          <w:b/>
          <w:bCs/>
          <w:color w:val="1E1E1E"/>
          <w:sz w:val="24"/>
          <w:szCs w:val="24"/>
        </w:rPr>
        <w:t xml:space="preserve">Managing Director</w:t>
      </w:r>
    </w:p>
    <w:p>
      <w:pPr>
        <w:keepNext/>
        <w:spacing w:after="120"/>
      </w:pPr>
      <w:r>
        <w:rPr>
          <w:rFonts w:ascii="Arial" w:cs="Arial" w:eastAsia="Arial" w:hAnsi="Arial"/>
          <w:color w:val="1E1E1E"/>
          <w:sz w:val="24"/>
          <w:szCs w:val="24"/>
        </w:rPr>
        <w:t xml:space="preserve">Tumelo Sekgala, Date: ________</w:t>
      </w:r>
    </w:p>
    <w:p>
      <w:pPr>
        <w:pBdr>
          <w:left w:val="single" w:color="C1272D" w:sz="18" w:space="8"/>
        </w:pBdr>
        <w:spacing w:before="240" w:line="300" w:lineRule="auto"/>
        <w:jc w:val="both"/>
      </w:pPr>
      <w:r>
        <w:rPr>
          <w:rFonts w:ascii="Arial" w:cs="Arial" w:eastAsia="Arial" w:hAnsi="Arial"/>
          <w:color w:val="555555"/>
          <w:sz w:val="20"/>
          <w:szCs w:val="20"/>
        </w:rPr>
        <w:t xml:space="preserve">End of the example. The company, people and records in it are fictitious; the cover page explains how to use it.</w:t>
      </w:r>
    </w:p>
    <w:sectPr>
      <w:headerReference w:type="default" r:id="rId9"/>
      <w:footerReference w:type="default" r:id="rId10"/>
      <w:pgSz w:w="11906" w:h="16838" w:orient="portrait"/>
      <w:pgMar w:top="1440" w:right="1440" w:bottom="2700" w:left="1440" w:header="425"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anchor distT="0" distB="0" distL="0" distR="0" simplePos="0" allowOverlap="1" behindDoc="1" locked="0" layoutInCell="1" relativeHeight="1590675">
          <wp:simplePos x="0" y="0"/>
          <wp:positionH relativeFrom="column">
            <wp:posOffset>-885825</wp:posOffset>
          </wp:positionH>
          <wp:positionV relativeFrom="page">
            <wp:posOffset>9039225</wp:posOffset>
          </wp:positionV>
          <wp:extent cx="7448550" cy="1590675"/>
          <wp:effectExtent t="0" r="0" b="0" l="0"/>
          <wp:wrapSquare wrapText="bothSides" distT="0" distB="0" distL="0" distR="0"/>
          <wp:docPr id="1" name="footer" descr="Care Net Consultants letterhead footer banner" title="Care Net Consultants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448550" cy="159067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anchor distT="0" distB="0" distL="0" distR="0" simplePos="0" allowOverlap="1" behindDoc="1" locked="0" layoutInCell="1" relativeHeight="1590675">
          <wp:simplePos x="0" y="0"/>
          <wp:positionH relativeFrom="column">
            <wp:posOffset>-885825</wp:posOffset>
          </wp:positionH>
          <wp:positionV relativeFrom="page">
            <wp:posOffset>9039225</wp:posOffset>
          </wp:positionV>
          <wp:extent cx="7448550" cy="1590675"/>
          <wp:effectExtent t="0" r="0" b="0" l="0"/>
          <wp:wrapSquare wrapText="bothSides" distT="0" distB="0" distL="0" distR="0"/>
          <wp:docPr id="1" name="footer" descr="Care Net Consultants letterhead footer banner" title="Care Net Consultants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448550" cy="1590675"/>
                  </a:xfrm>
                  <a:prstGeom prst="rect">
                    <a:avLst/>
                  </a:prstGeom>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1114425">
          <wp:simplePos x="0" y="0"/>
          <wp:positionH relativeFrom="column">
            <wp:posOffset>-819150</wp:posOffset>
          </wp:positionH>
          <wp:positionV relativeFrom="page">
            <wp:posOffset>114300</wp:posOffset>
          </wp:positionV>
          <wp:extent cx="7315200" cy="1114425"/>
          <wp:effectExtent t="0" r="0" b="0" l="0"/>
          <wp:wrapNone/>
          <wp:docPr id="1" name="header" descr="Care Net Consultants letterhead header banner" title="Care Net Consultants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315200" cy="111442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Arial" w:cs="Arial" w:eastAsia="Arial" w:hAnsi="Arial"/>
        <w:b/>
        <w:bCs/>
        <w:color w:val="C1272D"/>
        <w:sz w:val="16"/>
        <w:szCs w:val="16"/>
      </w:rPr>
      <w:t xml:space="preserve">EXAMPLE DOCUMENT. The company, people and records on this page are fictitious. For guidance only; not a document to sign or rely 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1E1E"/>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e984b294c1d0d99bf21755d848fe4c46e48b90e4.png"/></Relationships>
</file>

<file path=word/_rels/footer2.xml.rels><?xml version="1.0" encoding="UTF-8"?><Relationships xmlns="http://schemas.openxmlformats.org/package/2006/relationships"><Relationship Id="rId0" Type="http://schemas.openxmlformats.org/officeDocument/2006/relationships/image" Target="media/e984b294c1d0d99bf21755d848fe4c46e48b90e4.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7d240f2422258f13315ffe458878fb9a30d43aa.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Internal Audit Report: Health and Safety File</dc:title>
  <dc:creator>Care Net Consultants (Pty) Ltd</dc:creator>
  <dc:description>Example document for a Health and Safety File. Fictitious; for guidance only.</dc:description>
  <cp:lastModifiedBy>Un-named</cp:lastModifiedBy>
  <cp:revision>1</cp:revision>
  <dcterms:created xsi:type="dcterms:W3CDTF">2026-09-24T05:33:14.469Z</dcterms:created>
  <dcterms:modified xsi:type="dcterms:W3CDTF">2026-09-24T05:33:14.469Z</dcterms:modified>
</cp:coreProperties>
</file>

<file path=docProps/custom.xml><?xml version="1.0" encoding="utf-8"?>
<Properties xmlns="http://schemas.openxmlformats.org/officeDocument/2006/custom-properties" xmlns:vt="http://schemas.openxmlformats.org/officeDocument/2006/docPropsVTypes"/>
</file>