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Thalovane Components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O: Records and retention</w:t>
      </w:r>
    </w:p>
    <w:p>
      <w:pPr>
        <w:pStyle w:val="Heading1"/>
        <w:keepNext/>
        <w:spacing w:after="160" w:before="120"/>
      </w:pPr>
      <w:r>
        <w:rPr>
          <w:rFonts w:ascii="Arial" w:cs="Arial" w:eastAsia="Arial" w:hAnsi="Arial"/>
          <w:b/>
          <w:bCs/>
          <w:color w:val="8B0000"/>
          <w:sz w:val="32"/>
          <w:szCs w:val="32"/>
        </w:rPr>
        <w:t xml:space="preserve">Records Retention Schedule</w:t>
      </w:r>
    </w:p>
    <w:p>
      <w:pPr>
        <w:spacing w:after="200"/>
      </w:pPr>
      <w:r>
        <w:rPr>
          <w:rFonts w:ascii="Arial" w:cs="Arial" w:eastAsia="Arial" w:hAnsi="Arial"/>
          <w:b/>
          <w:bCs/>
          <w:color w:val="1E1E1E"/>
          <w:sz w:val="24"/>
          <w:szCs w:val="24"/>
        </w:rPr>
        <w:t xml:space="preserve">Health and safety records, Gqeberha plant, approved 3 August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Thalovane Components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O: Records and retention</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Purpose</w:t>
      </w:r>
    </w:p>
    <w:p>
      <w:pPr>
        <w:spacing w:after="40" w:line="300" w:lineRule="auto"/>
      </w:pPr>
      <w:r>
        <w:rPr>
          <w:rFonts w:ascii="Arial" w:cs="Arial" w:eastAsia="Arial" w:hAnsi="Arial"/>
          <w:color w:val="1E1E1E"/>
          <w:sz w:val="24"/>
          <w:szCs w:val="24"/>
        </w:rPr>
        <w:t xml:space="preserve">2. POPIA purpose note</w:t>
      </w:r>
    </w:p>
    <w:p>
      <w:pPr>
        <w:spacing w:after="40" w:line="300" w:lineRule="auto"/>
      </w:pPr>
      <w:r>
        <w:rPr>
          <w:rFonts w:ascii="Arial" w:cs="Arial" w:eastAsia="Arial" w:hAnsi="Arial"/>
          <w:color w:val="1E1E1E"/>
          <w:sz w:val="24"/>
          <w:szCs w:val="24"/>
        </w:rPr>
        <w:t xml:space="preserve">3. Retention schedule</w:t>
      </w:r>
    </w:p>
    <w:p>
      <w:pPr>
        <w:spacing w:after="40" w:line="300" w:lineRule="auto"/>
      </w:pPr>
      <w:r>
        <w:rPr>
          <w:rFonts w:ascii="Arial" w:cs="Arial" w:eastAsia="Arial" w:hAnsi="Arial"/>
          <w:color w:val="1E1E1E"/>
          <w:sz w:val="24"/>
          <w:szCs w:val="24"/>
        </w:rPr>
        <w:t xml:space="preserve">4. Storage, access and disposal</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Records Retention Schedule</w:t>
      </w:r>
    </w:p>
    <w:p>
      <w:pPr>
        <w:spacing w:after="200"/>
      </w:pPr>
      <w:r>
        <w:rPr>
          <w:rFonts w:ascii="Arial" w:cs="Arial" w:eastAsia="Arial" w:hAnsi="Arial"/>
          <w:b/>
          <w:bCs/>
          <w:color w:val="1E1E1E"/>
          <w:sz w:val="24"/>
          <w:szCs w:val="24"/>
        </w:rPr>
        <w:t xml:space="preserve">Health and safety records, Gqeberha plant, approved 3 August 2026</w:t>
      </w:r>
    </w:p>
    <w:p>
      <w:pPr>
        <w:pStyle w:val="Heading2"/>
        <w:keepNext/>
        <w:spacing w:after="120" w:before="240"/>
      </w:pPr>
      <w:r>
        <w:rPr>
          <w:rFonts w:ascii="Arial" w:cs="Arial" w:eastAsia="Arial" w:hAnsi="Arial"/>
          <w:b/>
          <w:bCs/>
          <w:color w:val="C1272D"/>
          <w:sz w:val="28"/>
          <w:szCs w:val="28"/>
        </w:rPr>
        <w:t xml:space="preserve">1. Purpose</w:t>
      </w:r>
    </w:p>
    <w:p>
      <w:pPr>
        <w:spacing w:after="120" w:line="360" w:lineRule="auto"/>
        <w:jc w:val="both"/>
      </w:pPr>
      <w:r>
        <w:rPr>
          <w:rFonts w:ascii="Arial" w:cs="Arial" w:eastAsia="Arial" w:hAnsi="Arial"/>
          <w:color w:val="1E1E1E"/>
          <w:sz w:val="24"/>
          <w:szCs w:val="24"/>
        </w:rPr>
        <w:t xml:space="preserve">This schedule sets, for every type of health and safety record we keep, why we keep it, where it is held, who may see it, how long we keep it and how we dispose of it. The Health and Safety Manager, Busisiwe Tshabalala, reviews it every year and whenever the law or our operations change.</w:t>
      </w:r>
    </w:p>
    <w:p>
      <w:pPr>
        <w:pStyle w:val="Heading2"/>
        <w:keepNext/>
        <w:spacing w:after="120" w:before="240"/>
      </w:pPr>
      <w:r>
        <w:rPr>
          <w:rFonts w:ascii="Arial" w:cs="Arial" w:eastAsia="Arial" w:hAnsi="Arial"/>
          <w:b/>
          <w:bCs/>
          <w:color w:val="C1272D"/>
          <w:sz w:val="28"/>
          <w:szCs w:val="28"/>
        </w:rPr>
        <w:t xml:space="preserve">2. POPIA purpose note</w:t>
      </w:r>
    </w:p>
    <w:p>
      <w:pPr>
        <w:spacing w:after="120" w:line="360" w:lineRule="auto"/>
        <w:jc w:val="both"/>
      </w:pPr>
      <w:r>
        <w:rPr>
          <w:rFonts w:ascii="Arial" w:cs="Arial" w:eastAsia="Arial" w:hAnsi="Arial"/>
          <w:color w:val="1E1E1E"/>
          <w:sz w:val="24"/>
          <w:szCs w:val="24"/>
        </w:rPr>
        <w:t xml:space="preserve">Many of these records hold personal information about our employees, contractors and visitors. Under the Protection of Personal Information Act (POPIA), we collect and keep this information only to meet our health and safety duties under the OHS Act and COIDA and to protect the people on our site. We keep it for the period the applicable regulations set, or the practitioner sets where no regulation sets one, and no longer; restrict access to the people named below, keep it secure and dispose of it safely. Medical records are held by the occupational health practitioner; our File holds only the fitness outcome (fit, fit with restrictions, unfit). Employees may ask to see their own records by writing to the Information Officer, Ruan de Villiers.</w:t>
      </w:r>
    </w:p>
    <w:p>
      <w:pPr>
        <w:pageBreakBefore/>
        <w:spacing w:after="0" w:before="0" w:line="20" w:lineRule="exact"/>
      </w:pPr>
    </w:p>
    <w:p>
      <w:pPr>
        <w:pStyle w:val="Heading2"/>
        <w:keepNext/>
        <w:spacing w:after="120" w:before="240"/>
      </w:pPr>
      <w:r>
        <w:rPr>
          <w:rFonts w:ascii="Arial" w:cs="Arial" w:eastAsia="Arial" w:hAnsi="Arial"/>
          <w:b/>
          <w:bCs/>
          <w:color w:val="C1272D"/>
          <w:sz w:val="28"/>
          <w:szCs w:val="28"/>
        </w:rPr>
        <w:t xml:space="preserve">3. Retention schedule</w:t>
      </w:r>
    </w:p>
    <w:p>
      <w:pPr>
        <w:spacing w:after="120" w:line="360" w:lineRule="auto"/>
        <w:jc w:val="both"/>
      </w:pPr>
      <w:r>
        <w:rPr>
          <w:rFonts w:ascii="Arial" w:cs="Arial" w:eastAsia="Arial" w:hAnsi="Arial"/>
          <w:b/>
          <w:bCs/>
          <w:color w:val="1E1E1E"/>
          <w:sz w:val="24"/>
          <w:szCs w:val="24"/>
        </w:rPr>
        <w:t xml:space="preserve">How the retention column works.</w:t>
      </w:r>
      <w:r>
        <w:rPr>
          <w:rFonts w:ascii="Arial" w:cs="Arial" w:eastAsia="Arial" w:hAnsi="Arial"/>
          <w:color w:val="1E1E1E"/>
          <w:sz w:val="24"/>
          <w:szCs w:val="24"/>
        </w:rPr>
        <w:t xml:space="preserve"> Where regulations set how long a record type is kept, the column says </w:t>
      </w:r>
      <w:r>
        <w:rPr>
          <w:rFonts w:ascii="Arial" w:cs="Arial" w:eastAsia="Arial" w:hAnsi="Arial"/>
          <w:b/>
          <w:bCs/>
          <w:color w:val="1E1E1E"/>
          <w:sz w:val="24"/>
          <w:szCs w:val="24"/>
        </w:rPr>
        <w:t xml:space="preserve">as the applicable regulations set</w:t>
      </w:r>
      <w:r>
        <w:rPr>
          <w:rFonts w:ascii="Arial" w:cs="Arial" w:eastAsia="Arial" w:hAnsi="Arial"/>
          <w:color w:val="1E1E1E"/>
          <w:sz w:val="24"/>
          <w:szCs w:val="24"/>
        </w:rPr>
        <w:t xml:space="preserve">, and the registered Health and Safety practitioner confirms which regulations apply to our agents, equipment and activities. Records of exposure to hazardous agents and of medical surveillance are kept for the long periods those regulations set, because disease from an exposure can appear many years later. </w:t>
      </w:r>
      <w:r>
        <w:rPr>
          <w:rFonts w:ascii="Arial" w:cs="Arial" w:eastAsia="Arial" w:hAnsi="Arial"/>
          <w:b/>
          <w:bCs/>
          <w:color w:val="1E1E1E"/>
          <w:sz w:val="24"/>
          <w:szCs w:val="24"/>
        </w:rPr>
        <w:t xml:space="preserve">As the practitioner sets</w:t>
      </w:r>
      <w:r>
        <w:rPr>
          <w:rFonts w:ascii="Arial" w:cs="Arial" w:eastAsia="Arial" w:hAnsi="Arial"/>
          <w:color w:val="1E1E1E"/>
          <w:sz w:val="24"/>
          <w:szCs w:val="24"/>
        </w:rPr>
        <w:t xml:space="preserve"> is used only for record types no regulation covers.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354"/>
        <w:gridCol w:w="1444"/>
        <w:gridCol w:w="1715"/>
        <w:gridCol w:w="1715"/>
        <w:gridCol w:w="1264"/>
      </w:tblGrid>
      <w:tr>
        <w:trPr>
          <w:tblHeader/>
        </w:trPr>
        <w:tc>
          <w:tcPr>
            <w:tcW w:type="dxa" w:w="153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Record type</w:t>
            </w:r>
          </w:p>
        </w:tc>
        <w:tc>
          <w:tcPr>
            <w:tcW w:type="dxa" w:w="135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Purpose</w:t>
            </w:r>
          </w:p>
        </w:tc>
        <w:tc>
          <w:tcPr>
            <w:tcW w:type="dxa" w:w="144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Where held</w:t>
            </w:r>
          </w:p>
        </w:tc>
        <w:tc>
          <w:tcPr>
            <w:tcW w:type="dxa" w:w="171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Access</w:t>
            </w:r>
          </w:p>
        </w:tc>
        <w:tc>
          <w:tcPr>
            <w:tcW w:type="dxa" w:w="171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Retention period</w:t>
            </w:r>
          </w:p>
        </w:tc>
        <w:tc>
          <w:tcPr>
            <w:tcW w:type="dxa" w:w="126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Disposal</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File index and legal register</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Show how we meet the OHS Act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Cabinet HS1, Health and Safety office; scanned copy on the server</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Management, representatives, inspectors</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practitioner sets (no regulation sets a period)</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Shred; delete copy</w:t>
            </w:r>
          </w:p>
        </w:tc>
      </w:tr>
      <w:tr>
        <w:trPr>
          <w:cantSplit/>
        </w:trPr>
        <w:tc>
          <w:tcPr>
            <w:tcW w:type="dxa" w:w="153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Written appointments, including the section 16(2) assignment</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Prove who holds each duty</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Cabinet HS1</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Management, the appointee, inspectors</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 where they cover it; otherwise as the practitioner sets</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Shred</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Risk assessments for hazardous chemical agents, hazardous biological agents, lead, asbestos, noise and other regulated agents, with their safe work procedures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Record the assessed exposure and its controls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Server, Health and Safety folder</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All employees, read only</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 for the agent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Delete</w:t>
            </w:r>
          </w:p>
        </w:tc>
      </w:tr>
      <w:tr>
        <w:trPr>
          <w:cantSplit/>
        </w:trPr>
        <w:tc>
          <w:tcPr>
            <w:tcW w:type="dxa" w:w="153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Other risk assessments and safe work procedures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Record hazards and controls</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Server, Health and Safety folder</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All employees, read only</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 where they cover it; otherwise as the practitioner sets</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Delete</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Occupational hygiene and exposure monitoring reports, including air monitoring</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Show that exposure was measured and controlled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Cabinet HS2 and the server</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Management, representatives, the occupational medical practitioner, inspectors</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 for the agent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Shred; delete</w:t>
            </w:r>
          </w:p>
        </w:tc>
      </w:tr>
      <w:tr>
        <w:trPr>
          <w:cantSplit/>
        </w:trPr>
        <w:tc>
          <w:tcPr>
            <w:tcW w:type="dxa" w:w="153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Training and induction records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Prove competence</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Human resources, locked cabinet</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Human resources, the employee</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 where they cover it; otherwise as the practitioner sets</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Shred</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Certificates of fitness (outcome only)</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Confirm who is fit for which work</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Human resources, locked cabinet</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Human resources, the employee, the supervisor</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 for the exposure</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Shred</w:t>
            </w:r>
          </w:p>
        </w:tc>
      </w:tr>
      <w:tr>
        <w:trPr>
          <w:cantSplit/>
        </w:trPr>
        <w:tc>
          <w:tcPr>
            <w:tcW w:type="dxa" w:w="153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Medical surveillance and clinical records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Monitor the health of exposed employees</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Occupational health practitioner, never in our File</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practitioner and the employee</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 for the hazard</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Practitioner</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Incident reports and investigations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Learn from incidents; report under COIDA</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Cabinet HS2 and the server</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Management, representatives, inspectors</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OHS Act, COIDA and the applicable regulations set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Shred; delete</w:t>
            </w:r>
          </w:p>
        </w:tc>
      </w:tr>
      <w:tr>
        <w:trPr>
          <w:cantSplit/>
        </w:trPr>
        <w:tc>
          <w:tcPr>
            <w:tcW w:type="dxa" w:w="153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Committee minutes and inspection reports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Show consultation and follow up</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Server, Committee folder</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Committee members; employees on request</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Delete</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Equipment inspection registers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Prove equipment is inspected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Maintenance office</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Maintenance, inspectors</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 for the equipment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Shred</w:t>
            </w:r>
          </w:p>
        </w:tc>
      </w:tr>
      <w:tr>
        <w:trPr>
          <w:cantSplit/>
        </w:trPr>
        <w:tc>
          <w:tcPr>
            <w:tcW w:type="dxa" w:w="153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Contractor Files and section 37(2) agreements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Control contractors on site</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Cabinet HS2</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Management, the contractor</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applicable regulations set where they cover it; otherwise as the practitioner sets</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Return or shred</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Visitor registers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Know who is on site in an emergency</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Security gate, then Health and Safety office</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Security, management</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practitioner sets (no regulation sets a period)</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Shred</w:t>
            </w:r>
          </w:p>
        </w:tc>
      </w:tr>
    </w:tbl>
    <w:p>
      <w:pPr>
        <w:spacing w:after="120"/>
      </w:pPr>
    </w:p>
    <w:p>
      <w:pPr>
        <w:pStyle w:val="Heading2"/>
        <w:keepNext/>
        <w:spacing w:after="120" w:before="240"/>
      </w:pPr>
      <w:r>
        <w:rPr>
          <w:rFonts w:ascii="Arial" w:cs="Arial" w:eastAsia="Arial" w:hAnsi="Arial"/>
          <w:b/>
          <w:bCs/>
          <w:color w:val="C1272D"/>
          <w:sz w:val="28"/>
          <w:szCs w:val="28"/>
        </w:rPr>
        <w:t xml:space="preserve">4. Storage, access and disposal</w:t>
      </w:r>
    </w:p>
    <w:p>
      <w:pPr>
        <w:pStyle w:val="ListParagraph"/>
        <w:numPr>
          <w:ilvl w:val="0"/>
          <w:numId w:val="2"/>
        </w:numPr>
        <w:spacing w:after="60" w:line="360" w:lineRule="auto"/>
        <w:jc w:val="both"/>
      </w:pPr>
      <w:r>
        <w:rPr>
          <w:rFonts w:ascii="Arial" w:cs="Arial" w:eastAsia="Arial" w:hAnsi="Arial"/>
          <w:color w:val="1E1E1E"/>
          <w:sz w:val="24"/>
          <w:szCs w:val="24"/>
        </w:rPr>
        <w:t xml:space="preserve">Paper records are kept in locked cabinets; only the people in the access column hold keys.</w:t>
      </w:r>
    </w:p>
    <w:p>
      <w:pPr>
        <w:pStyle w:val="ListParagraph"/>
        <w:numPr>
          <w:ilvl w:val="0"/>
          <w:numId w:val="2"/>
        </w:numPr>
        <w:spacing w:after="60" w:line="360" w:lineRule="auto"/>
        <w:jc w:val="both"/>
      </w:pPr>
      <w:r>
        <w:rPr>
          <w:rFonts w:ascii="Arial" w:cs="Arial" w:eastAsia="Arial" w:hAnsi="Arial"/>
          <w:color w:val="1E1E1E"/>
          <w:sz w:val="24"/>
          <w:szCs w:val="24"/>
        </w:rPr>
        <w:t xml:space="preserve">Electronic records are kept in folders with access limited to the same people, and the server is backed up.</w:t>
      </w:r>
    </w:p>
    <w:p>
      <w:pPr>
        <w:pStyle w:val="ListParagraph"/>
        <w:numPr>
          <w:ilvl w:val="0"/>
          <w:numId w:val="2"/>
        </w:numPr>
        <w:spacing w:after="60" w:line="360" w:lineRule="auto"/>
        <w:jc w:val="both"/>
      </w:pPr>
      <w:r>
        <w:rPr>
          <w:rFonts w:ascii="Arial" w:cs="Arial" w:eastAsia="Arial" w:hAnsi="Arial"/>
          <w:color w:val="1E1E1E"/>
          <w:sz w:val="24"/>
          <w:szCs w:val="24"/>
        </w:rPr>
        <w:t xml:space="preserve">No record is destroyed while an inspection, claim, investigation or legal matter about it is open.</w:t>
      </w:r>
    </w:p>
    <w:p>
      <w:pPr>
        <w:pStyle w:val="ListParagraph"/>
        <w:numPr>
          <w:ilvl w:val="0"/>
          <w:numId w:val="2"/>
        </w:numPr>
        <w:spacing w:after="60" w:line="360" w:lineRule="auto"/>
        <w:jc w:val="both"/>
      </w:pPr>
      <w:r>
        <w:rPr>
          <w:rFonts w:ascii="Arial" w:cs="Arial" w:eastAsia="Arial" w:hAnsi="Arial"/>
          <w:color w:val="1E1E1E"/>
          <w:sz w:val="24"/>
          <w:szCs w:val="24"/>
        </w:rPr>
        <w:t xml:space="preserve">Every disposal is recorded in the disposal log: record type, dates covered, method, date and the person who did it.</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Health and Safety Manager</w:t>
      </w:r>
    </w:p>
    <w:p>
      <w:pPr>
        <w:keepNext/>
        <w:spacing w:after="120"/>
      </w:pPr>
      <w:r>
        <w:rPr>
          <w:rFonts w:ascii="Arial" w:cs="Arial" w:eastAsia="Arial" w:hAnsi="Arial"/>
          <w:color w:val="1E1E1E"/>
          <w:sz w:val="24"/>
          <w:szCs w:val="24"/>
        </w:rPr>
        <w:t xml:space="preserve">Busisiwe Tshabalala, Date: ________</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Information Officer</w:t>
      </w:r>
    </w:p>
    <w:p>
      <w:pPr>
        <w:keepNext/>
        <w:spacing w:after="120"/>
      </w:pPr>
      <w:r>
        <w:rPr>
          <w:rFonts w:ascii="Arial" w:cs="Arial" w:eastAsia="Arial" w:hAnsi="Arial"/>
          <w:color w:val="1E1E1E"/>
          <w:sz w:val="24"/>
          <w:szCs w:val="24"/>
        </w:rPr>
        <w:t xml:space="preserve">Ruan de Villiers, Date: ________</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Retention Schedule</dc:title>
  <dc:creator>Care Net Consultants (Pty) Ltd</dc:creator>
  <dc:description>Example document for a Health and Safety File. Fictitious; for guidance only.</dc:description>
  <cp:lastModifiedBy>Un-named</cp:lastModifiedBy>
  <cp:revision>1</cp:revision>
  <dcterms:created xsi:type="dcterms:W3CDTF">2026-09-24T08:13:55.207Z</dcterms:created>
  <dcterms:modified xsi:type="dcterms:W3CDTF">2026-09-24T08:13:55.207Z</dcterms:modified>
</cp:coreProperties>
</file>

<file path=docProps/custom.xml><?xml version="1.0" encoding="utf-8"?>
<Properties xmlns="http://schemas.openxmlformats.org/officeDocument/2006/custom-properties" xmlns:vt="http://schemas.openxmlformats.org/officeDocument/2006/docPropsVTypes"/>
</file>