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1272D"/>
          <w:sz w:val="18"/>
          <w:szCs w:val="18"/>
        </w:rPr>
        <w:t xml:space="preserve">EXAMPLE DOCUMENT. Kornetvale Agri Logistics (Pty) Ltd is a fictitious company. Every company, person, address, date, figure and reference number in this example is made up; only the Care Net letterhead and any public emergency number are real. For guidance only; not a document to sign or rely on.</w:t>
      </w:r>
    </w:p>
    <w:p>
      <w:pPr>
        <w:spacing w:after="120"/>
      </w:pPr>
      <w:r>
        <w:rPr>
          <w:rFonts w:ascii="Arial" w:cs="Arial" w:eastAsia="Arial" w:hAnsi="Arial"/>
          <w:b/>
          <w:bCs/>
          <w:color w:val="C1272D"/>
          <w:sz w:val="22"/>
          <w:szCs w:val="22"/>
        </w:rPr>
        <w:t xml:space="preserve">Example for a Health and Safety File, Section M: Environment, welfare and facilities</w:t>
      </w:r>
    </w:p>
    <w:p>
      <w:pPr>
        <w:pStyle w:val="Heading1"/>
        <w:keepNext/>
        <w:spacing w:after="160" w:before="120"/>
      </w:pPr>
      <w:r>
        <w:rPr>
          <w:rFonts w:ascii="Arial" w:cs="Arial" w:eastAsia="Arial" w:hAnsi="Arial"/>
          <w:b/>
          <w:bCs/>
          <w:color w:val="8B0000"/>
          <w:sz w:val="32"/>
          <w:szCs w:val="32"/>
        </w:rPr>
        <w:t xml:space="preserve">Welfare and Facilities Inspection Checklist</w:t>
      </w:r>
    </w:p>
    <w:p>
      <w:pPr>
        <w:spacing w:after="200"/>
      </w:pPr>
      <w:r>
        <w:rPr>
          <w:rFonts w:ascii="Arial" w:cs="Arial" w:eastAsia="Arial" w:hAnsi="Arial"/>
          <w:b/>
          <w:bCs/>
          <w:color w:val="1E1E1E"/>
          <w:sz w:val="24"/>
          <w:szCs w:val="24"/>
        </w:rPr>
        <w:t xml:space="preserve">Annual inspection of the Bloemfontein depot, 11 May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About this example</w:t>
            </w:r>
          </w:p>
        </w:tc>
        <w:tc>
          <w:tcPr>
            <w:tcW w:type="dxa" w:w="613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in the example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Kornetvale Agri Logistics (Pty) Ltd, a fictitious company</w:t>
            </w:r>
          </w:p>
        </w:tc>
      </w:tr>
      <w:tr>
        <w:trPr>
          <w:cantSplit/>
        </w:trP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Where it is filed</w:t>
            </w:r>
          </w:p>
        </w:tc>
        <w:tc>
          <w:tcPr>
            <w:tcW w:type="dxa" w:w="613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Section M: Environment, welfare and facilities</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Published by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Care Net Consultants, as guidance for companies building a Health and Safety File</w:t>
            </w:r>
          </w:p>
        </w:tc>
      </w:tr>
    </w:tbl>
    <w:p>
      <w:pPr>
        <w:spacing w:after="120"/>
      </w:pPr>
    </w:p>
    <w:p>
      <w:pPr>
        <w:pStyle w:val="Heading2"/>
        <w:keepNext/>
        <w:spacing w:after="120" w:before="240"/>
      </w:pPr>
      <w:r>
        <w:rPr>
          <w:rFonts w:ascii="Arial" w:cs="Arial" w:eastAsia="Arial" w:hAnsi="Arial"/>
          <w:b/>
          <w:bCs/>
          <w:color w:val="C1272D"/>
          <w:sz w:val="28"/>
          <w:szCs w:val="28"/>
        </w:rPr>
        <w:t xml:space="preserve">How to use this example</w:t>
      </w:r>
    </w:p>
    <w:p>
      <w:pPr>
        <w:spacing w:after="120" w:line="360" w:lineRule="auto"/>
        <w:jc w:val="both"/>
      </w:pPr>
      <w:r>
        <w:rPr>
          <w:rFonts w:ascii="Arial" w:cs="Arial" w:eastAsia="Arial" w:hAnsi="Arial"/>
          <w:color w:val="1E1E1E"/>
          <w:sz w:val="24"/>
          <w:szCs w:val="24"/>
        </w:rPr>
        <w:t xml:space="preserve">This example shows the form and content Care Net recommends for this document in a Health and Safety File. Adapt it to your company, your sites and your appointments; your registered Health and Safety practitioner confirms it before your File is released. Not legal advice.</w:t>
      </w:r>
    </w:p>
    <w:p>
      <w:pPr>
        <w:pStyle w:val="Heading2"/>
        <w:keepNext/>
        <w:spacing w:after="120" w:before="240"/>
      </w:pPr>
      <w:r>
        <w:rPr>
          <w:rFonts w:ascii="Arial" w:cs="Arial" w:eastAsia="Arial" w:hAnsi="Arial"/>
          <w:b/>
          <w:bCs/>
          <w:color w:val="C1272D"/>
          <w:sz w:val="28"/>
          <w:szCs w:val="28"/>
        </w:rPr>
        <w:t xml:space="preserve">Contents</w:t>
      </w:r>
    </w:p>
    <w:p>
      <w:pPr>
        <w:spacing w:after="40" w:line="300" w:lineRule="auto"/>
      </w:pPr>
      <w:r>
        <w:rPr>
          <w:rFonts w:ascii="Arial" w:cs="Arial" w:eastAsia="Arial" w:hAnsi="Arial"/>
          <w:color w:val="1E1E1E"/>
          <w:sz w:val="24"/>
          <w:szCs w:val="24"/>
        </w:rPr>
        <w:t xml:space="preserve">1. Inspection details</w:t>
      </w:r>
    </w:p>
    <w:p>
      <w:pPr>
        <w:spacing w:after="40" w:line="300" w:lineRule="auto"/>
      </w:pPr>
      <w:r>
        <w:rPr>
          <w:rFonts w:ascii="Arial" w:cs="Arial" w:eastAsia="Arial" w:hAnsi="Arial"/>
          <w:color w:val="1E1E1E"/>
          <w:sz w:val="24"/>
          <w:szCs w:val="24"/>
        </w:rPr>
        <w:t xml:space="preserve">2. Checklist</w:t>
      </w:r>
    </w:p>
    <w:p>
      <w:pPr>
        <w:spacing w:after="40" w:line="300" w:lineRule="auto"/>
      </w:pPr>
      <w:r>
        <w:rPr>
          <w:rFonts w:ascii="Arial" w:cs="Arial" w:eastAsia="Arial" w:hAnsi="Arial"/>
          <w:color w:val="1E1E1E"/>
          <w:sz w:val="24"/>
          <w:szCs w:val="24"/>
        </w:rPr>
        <w:t xml:space="preserve">3. Findings and corrective actions</w:t>
      </w:r>
    </w:p>
    <w:p>
      <w:pPr>
        <w:spacing w:after="40" w:line="300" w:lineRule="auto"/>
      </w:pPr>
      <w:r>
        <w:rPr>
          <w:rFonts w:ascii="Arial" w:cs="Arial" w:eastAsia="Arial" w:hAnsi="Arial"/>
          <w:color w:val="1E1E1E"/>
          <w:sz w:val="24"/>
          <w:szCs w:val="24"/>
        </w:rPr>
        <w:t xml:space="preserve">4. Close out</w:t>
      </w:r>
    </w:p>
    <w:p>
      <w:pPr>
        <w:sectPr>
          <w:headerReference w:type="default" r:id="rId7"/>
          <w:footerReference w:type="default" r:id="rId8"/>
          <w:pgSz w:w="11906" w:h="16838" w:orient="portrait"/>
          <w:pgMar w:top="2520" w:right="1440" w:bottom="2700" w:left="1440" w:header="425" w:footer="708" w:gutter="0"/>
          <w:pgNumType/>
          <w:docGrid w:linePitch="360"/>
        </w:sectPr>
      </w:pPr>
    </w:p>
    <w:p>
      <w:pPr>
        <w:pStyle w:val="Heading1"/>
        <w:keepNext/>
        <w:spacing w:after="160" w:before="120"/>
      </w:pPr>
      <w:r>
        <w:rPr>
          <w:rFonts w:ascii="Arial" w:cs="Arial" w:eastAsia="Arial" w:hAnsi="Arial"/>
          <w:b/>
          <w:bCs/>
          <w:color w:val="8B0000"/>
          <w:sz w:val="32"/>
          <w:szCs w:val="32"/>
        </w:rPr>
        <w:t xml:space="preserve">Welfare and Facilities Inspection Checklist</w:t>
      </w:r>
    </w:p>
    <w:p>
      <w:pPr>
        <w:spacing w:after="200"/>
      </w:pPr>
      <w:r>
        <w:rPr>
          <w:rFonts w:ascii="Arial" w:cs="Arial" w:eastAsia="Arial" w:hAnsi="Arial"/>
          <w:b/>
          <w:bCs/>
          <w:color w:val="1E1E1E"/>
          <w:sz w:val="24"/>
          <w:szCs w:val="24"/>
        </w:rPr>
        <w:t xml:space="preserve">Annual inspection of the Bloemfontein depot, 11 May 2026</w:t>
      </w:r>
    </w:p>
    <w:p>
      <w:pPr>
        <w:pStyle w:val="Heading2"/>
        <w:keepNext/>
        <w:spacing w:after="120" w:before="240"/>
      </w:pPr>
      <w:r>
        <w:rPr>
          <w:rFonts w:ascii="Arial" w:cs="Arial" w:eastAsia="Arial" w:hAnsi="Arial"/>
          <w:b/>
          <w:bCs/>
          <w:color w:val="C1272D"/>
          <w:sz w:val="28"/>
          <w:szCs w:val="28"/>
        </w:rPr>
        <w:t xml:space="preserve">1. Inspection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Item</w:t>
            </w:r>
          </w:p>
        </w:tc>
        <w:tc>
          <w:tcPr>
            <w:tcW w:type="dxa" w:w="631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Site</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Bloemfontein depot, 9 Kameeldoring Street, Hamilton, Bloemfontein</w:t>
            </w:r>
          </w:p>
        </w:tc>
      </w:tr>
      <w:tr>
        <w:trPr>
          <w:cantSplit/>
        </w:trP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Employees on site</w:t>
            </w:r>
          </w:p>
        </w:tc>
        <w:tc>
          <w:tcPr>
            <w:tcW w:type="dxa" w:w="631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38 (29 men, 9 women) over two shifts</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Inspected by</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Karabo Mokoena, Health and Safety Officer, with Elna Botha, health and safety representative</w:t>
            </w:r>
          </w:p>
        </w:tc>
      </w:tr>
      <w:tr>
        <w:trPr>
          <w:cantSplit/>
        </w:trP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Date</w:t>
            </w:r>
          </w:p>
        </w:tc>
        <w:tc>
          <w:tcPr>
            <w:tcW w:type="dxa" w:w="631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Monday 11 May 2026, 08:00 to 10:30</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Previous inspection</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12 May 2025; all findings closed</w:t>
            </w:r>
          </w:p>
        </w:tc>
      </w:tr>
    </w:tbl>
    <w:p>
      <w:pPr>
        <w:spacing w:after="120"/>
      </w:pPr>
    </w:p>
    <w:p>
      <w:pPr>
        <w:spacing w:after="120" w:line="360" w:lineRule="auto"/>
        <w:jc w:val="both"/>
      </w:pPr>
      <w:r>
        <w:rPr>
          <w:rFonts w:ascii="Arial" w:cs="Arial" w:eastAsia="Arial" w:hAnsi="Arial"/>
          <w:color w:val="1E1E1E"/>
          <w:sz w:val="24"/>
          <w:szCs w:val="24"/>
        </w:rPr>
        <w:t xml:space="preserve">Each item is marked </w:t>
      </w:r>
      <w:r>
        <w:rPr>
          <w:rFonts w:ascii="Arial" w:cs="Arial" w:eastAsia="Arial" w:hAnsi="Arial"/>
          <w:b/>
          <w:bCs/>
          <w:color w:val="1E1E1E"/>
          <w:sz w:val="24"/>
          <w:szCs w:val="24"/>
        </w:rPr>
        <w:t xml:space="preserve">Yes</w:t>
      </w:r>
      <w:r>
        <w:rPr>
          <w:rFonts w:ascii="Arial" w:cs="Arial" w:eastAsia="Arial" w:hAnsi="Arial"/>
          <w:color w:val="1E1E1E"/>
          <w:sz w:val="24"/>
          <w:szCs w:val="24"/>
        </w:rPr>
        <w:t xml:space="preserve"> (in order), </w:t>
      </w:r>
      <w:r>
        <w:rPr>
          <w:rFonts w:ascii="Arial" w:cs="Arial" w:eastAsia="Arial" w:hAnsi="Arial"/>
          <w:b/>
          <w:bCs/>
          <w:color w:val="1E1E1E"/>
          <w:sz w:val="24"/>
          <w:szCs w:val="24"/>
        </w:rPr>
        <w:t xml:space="preserve">No</w:t>
      </w:r>
      <w:r>
        <w:rPr>
          <w:rFonts w:ascii="Arial" w:cs="Arial" w:eastAsia="Arial" w:hAnsi="Arial"/>
          <w:color w:val="1E1E1E"/>
          <w:sz w:val="24"/>
          <w:szCs w:val="24"/>
        </w:rPr>
        <w:t xml:space="preserve"> (a finding) or </w:t>
      </w:r>
      <w:r>
        <w:rPr>
          <w:rFonts w:ascii="Arial" w:cs="Arial" w:eastAsia="Arial" w:hAnsi="Arial"/>
          <w:b/>
          <w:bCs/>
          <w:color w:val="1E1E1E"/>
          <w:sz w:val="24"/>
          <w:szCs w:val="24"/>
        </w:rPr>
        <w:t xml:space="preserve">N/A</w:t>
      </w:r>
      <w:r>
        <w:rPr>
          <w:rFonts w:ascii="Arial" w:cs="Arial" w:eastAsia="Arial" w:hAnsi="Arial"/>
          <w:color w:val="1E1E1E"/>
          <w:sz w:val="24"/>
          <w:szCs w:val="24"/>
        </w:rPr>
        <w:t xml:space="preserve">. Numbers of toilets, basins and showers and the lighting and ventilation levels are checked against what the applicable regulations and your risk assessment set; where you are unsure, ask your registered Health and Safety practitioner.</w:t>
      </w:r>
    </w:p>
    <w:p>
      <w:pPr>
        <w:pStyle w:val="Heading2"/>
        <w:keepNext/>
        <w:spacing w:after="120" w:before="240"/>
      </w:pPr>
      <w:r>
        <w:rPr>
          <w:rFonts w:ascii="Arial" w:cs="Arial" w:eastAsia="Arial" w:hAnsi="Arial"/>
          <w:b/>
          <w:bCs/>
          <w:color w:val="C1272D"/>
          <w:sz w:val="28"/>
          <w:szCs w:val="28"/>
        </w:rPr>
        <w:t xml:space="preserve">2.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4062"/>
        <w:gridCol w:w="903"/>
        <w:gridCol w:w="2707"/>
      </w:tblGrid>
      <w:tr>
        <w:trPr>
          <w:tblHeader/>
        </w:trPr>
        <w:tc>
          <w:tcPr>
            <w:tcW w:type="dxa" w:w="135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Area</w:t>
            </w:r>
          </w:p>
        </w:tc>
        <w:tc>
          <w:tcPr>
            <w:tcW w:type="dxa" w:w="4062"/>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What we checked</w:t>
            </w:r>
          </w:p>
        </w:tc>
        <w:tc>
          <w:tcPr>
            <w:tcW w:type="dxa" w:w="903"/>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Result</w:t>
            </w:r>
          </w:p>
        </w:tc>
        <w:tc>
          <w:tcPr>
            <w:tcW w:type="dxa" w:w="270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Finding</w:t>
            </w:r>
          </w:p>
        </w:tc>
      </w:tr>
      <w:tr>
        <w:trPr>
          <w:cantSplit/>
        </w:trPr>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Sanitation</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Separate, clean, lockable toilets for men and women, with paper, soap and hand drying</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 order</w:t>
            </w:r>
          </w:p>
        </w:tc>
      </w:tr>
      <w:tr>
        <w:trPr>
          <w:cantSplit/>
        </w:trPr>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Sanitation</w:t>
            </w:r>
          </w:p>
        </w:tc>
        <w:tc>
          <w:tcPr>
            <w:tcW w:type="dxa" w:w="406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Enough toilets and basins for the number of employees on the largest shift</w:t>
            </w:r>
          </w:p>
        </w:tc>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270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 order</w:t>
            </w:r>
          </w:p>
        </w:tc>
      </w:tr>
      <w:tr>
        <w:trPr>
          <w:cantSplit/>
        </w:trPr>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Sanitation</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Sanitary bins in the women's toilets, emptied by the service provider</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Service record for April missing</w:t>
            </w:r>
          </w:p>
        </w:tc>
      </w:tr>
      <w:tr>
        <w:trPr>
          <w:cantSplit/>
        </w:trPr>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Drinking water</w:t>
            </w:r>
          </w:p>
        </w:tc>
        <w:tc>
          <w:tcPr>
            <w:tcW w:type="dxa" w:w="406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Clean drinking water close to work areas, with cups or a fountain</w:t>
            </w:r>
          </w:p>
        </w:tc>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270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 order</w:t>
            </w:r>
          </w:p>
        </w:tc>
      </w:tr>
      <w:tr>
        <w:trPr>
          <w:cantSplit/>
        </w:trPr>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Changing rooms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Separate changing rooms with lockers and seating</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 order</w:t>
            </w:r>
          </w:p>
        </w:tc>
      </w:tr>
      <w:tr>
        <w:trPr>
          <w:cantSplit/>
        </w:trPr>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Changing rooms</w:t>
            </w:r>
          </w:p>
        </w:tc>
        <w:tc>
          <w:tcPr>
            <w:tcW w:type="dxa" w:w="406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Showers working with hot and cold water</w:t>
            </w:r>
          </w:p>
        </w:tc>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w:t>
            </w:r>
          </w:p>
        </w:tc>
        <w:tc>
          <w:tcPr>
            <w:tcW w:type="dxa" w:w="270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One of three showers in the men's room has no hot water</w:t>
            </w:r>
          </w:p>
        </w:tc>
      </w:tr>
      <w:tr>
        <w:trPr>
          <w:cantSplit/>
        </w:trPr>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Eating areas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 clean eating area away from the loading bay, with tables, seating, a fridge and a way to heat food</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 order</w:t>
            </w:r>
          </w:p>
        </w:tc>
      </w:tr>
      <w:tr>
        <w:trPr>
          <w:cantSplit/>
        </w:trPr>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Eating areas</w:t>
            </w:r>
          </w:p>
        </w:tc>
        <w:tc>
          <w:tcPr>
            <w:tcW w:type="dxa" w:w="406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 food or drink in the chemical store or the workshop</w:t>
            </w:r>
          </w:p>
        </w:tc>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270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 order</w:t>
            </w:r>
          </w:p>
        </w:tc>
      </w:tr>
      <w:tr>
        <w:trPr>
          <w:cantSplit/>
        </w:trPr>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Lighting</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Lighting in the warehouse aisles, loading bay and yard is good enough for the tasks</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Two lamps out in aisle 4</w:t>
            </w:r>
          </w:p>
        </w:tc>
      </w:tr>
      <w:tr>
        <w:trPr>
          <w:cantSplit/>
        </w:trPr>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Lighting</w:t>
            </w:r>
          </w:p>
        </w:tc>
        <w:tc>
          <w:tcPr>
            <w:tcW w:type="dxa" w:w="406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Emergency lighting works on the escape routes</w:t>
            </w:r>
          </w:p>
        </w:tc>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270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Tested on the day</w:t>
            </w:r>
          </w:p>
        </w:tc>
      </w:tr>
      <w:tr>
        <w:trPr>
          <w:cantSplit/>
        </w:trPr>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Ventilation</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Workshop and battery charging bay ventilated, extraction fan working</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 order</w:t>
            </w:r>
          </w:p>
        </w:tc>
      </w:tr>
      <w:tr>
        <w:trPr>
          <w:cantSplit/>
        </w:trPr>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Ventilation</w:t>
            </w:r>
          </w:p>
        </w:tc>
        <w:tc>
          <w:tcPr>
            <w:tcW w:type="dxa" w:w="406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Offices and eating area have openable windows or working air conditioning</w:t>
            </w:r>
          </w:p>
        </w:tc>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270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 order</w:t>
            </w:r>
          </w:p>
        </w:tc>
      </w:tr>
      <w:tr>
        <w:trPr>
          <w:cantSplit/>
        </w:trPr>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Waste</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General waste in closed bins, removed by the municipal service</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 order</w:t>
            </w:r>
          </w:p>
        </w:tc>
      </w:tr>
      <w:tr>
        <w:trPr>
          <w:cantSplit/>
        </w:trPr>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Waste</w:t>
            </w:r>
          </w:p>
        </w:tc>
        <w:tc>
          <w:tcPr>
            <w:tcW w:type="dxa" w:w="406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Used oil, oily rags and fluorescent tubes kept apart and removed by a licensed contractor with a manifest</w:t>
            </w:r>
          </w:p>
        </w:tc>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w:t>
            </w:r>
          </w:p>
        </w:tc>
        <w:tc>
          <w:tcPr>
            <w:tcW w:type="dxa" w:w="270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Last waste manifest not on file</w:t>
            </w:r>
          </w:p>
        </w:tc>
      </w:tr>
    </w:tbl>
    <w:p>
      <w:pPr>
        <w:spacing w:after="120"/>
      </w:pPr>
    </w:p>
    <w:p>
      <w:pPr>
        <w:pStyle w:val="Heading2"/>
        <w:keepNext/>
        <w:spacing w:after="120" w:before="240"/>
      </w:pPr>
      <w:r>
        <w:rPr>
          <w:rFonts w:ascii="Arial" w:cs="Arial" w:eastAsia="Arial" w:hAnsi="Arial"/>
          <w:b/>
          <w:bCs/>
          <w:color w:val="C1272D"/>
          <w:sz w:val="28"/>
          <w:szCs w:val="28"/>
        </w:rPr>
        <w:t xml:space="preserve">3. Findings and corrective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2527"/>
        <w:gridCol w:w="3159"/>
        <w:gridCol w:w="1354"/>
        <w:gridCol w:w="1354"/>
      </w:tblGrid>
      <w:tr>
        <w:trPr>
          <w:tblHeader/>
        </w:trPr>
        <w:tc>
          <w:tcPr>
            <w:tcW w:type="dxa" w:w="632"/>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No.</w:t>
            </w:r>
          </w:p>
        </w:tc>
        <w:tc>
          <w:tcPr>
            <w:tcW w:type="dxa" w:w="252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Finding</w:t>
            </w:r>
          </w:p>
        </w:tc>
        <w:tc>
          <w:tcPr>
            <w:tcW w:type="dxa" w:w="3159"/>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Action</w:t>
            </w:r>
          </w:p>
        </w:tc>
        <w:tc>
          <w:tcPr>
            <w:tcW w:type="dxa" w:w="135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Owner</w:t>
            </w:r>
          </w:p>
        </w:tc>
        <w:tc>
          <w:tcPr>
            <w:tcW w:type="dxa" w:w="135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Due</w:t>
            </w:r>
          </w:p>
        </w:tc>
      </w:tr>
      <w:tr>
        <w:trPr>
          <w:cantSplit/>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Sanitary bin service record for April missing</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Obtain the record from the service provider and file it</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Elna Botha</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15/05/2026</w:t>
            </w:r>
          </w:p>
        </w:tc>
      </w:tr>
      <w:tr>
        <w:trPr>
          <w:cantSplit/>
        </w:trP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w:t>
            </w:r>
          </w:p>
        </w:tc>
        <w:tc>
          <w:tcPr>
            <w:tcW w:type="dxa" w:w="252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 hot water in one shower</w:t>
            </w:r>
          </w:p>
        </w:tc>
        <w:tc>
          <w:tcPr>
            <w:tcW w:type="dxa" w:w="315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Repair the geyser valve</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Willem Nel</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18/05/2026</w:t>
            </w:r>
          </w:p>
        </w:tc>
      </w:tr>
      <w:tr>
        <w:trPr>
          <w:cantSplit/>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Two lamps out in aisle 4</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Replace the lamps and add aisle lighting to the weekly check</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Willem Nel</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13/05/2026</w:t>
            </w:r>
          </w:p>
        </w:tc>
      </w:tr>
      <w:tr>
        <w:trPr>
          <w:cantSplit/>
        </w:trP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4</w:t>
            </w:r>
          </w:p>
        </w:tc>
        <w:tc>
          <w:tcPr>
            <w:tcW w:type="dxa" w:w="252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Last waste manifest not on file</w:t>
            </w:r>
          </w:p>
        </w:tc>
        <w:tc>
          <w:tcPr>
            <w:tcW w:type="dxa" w:w="315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Obtain the manifest from the waste contractor and file it</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Karabo Mokoena</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22/05/2026</w:t>
            </w:r>
          </w:p>
        </w:tc>
      </w:tr>
    </w:tbl>
    <w:p>
      <w:pPr>
        <w:spacing w:after="120"/>
      </w:pPr>
    </w:p>
    <w:p>
      <w:pPr>
        <w:pStyle w:val="Heading2"/>
        <w:keepNext/>
        <w:spacing w:after="120" w:before="240"/>
      </w:pPr>
      <w:r>
        <w:rPr>
          <w:rFonts w:ascii="Arial" w:cs="Arial" w:eastAsia="Arial" w:hAnsi="Arial"/>
          <w:b/>
          <w:bCs/>
          <w:color w:val="C1272D"/>
          <w:sz w:val="28"/>
          <w:szCs w:val="28"/>
        </w:rPr>
        <w:t xml:space="preserve">4. Close out</w:t>
      </w:r>
    </w:p>
    <w:p>
      <w:pPr>
        <w:spacing w:after="120" w:line="360" w:lineRule="auto"/>
        <w:jc w:val="both"/>
      </w:pPr>
      <w:r>
        <w:rPr>
          <w:rFonts w:ascii="Arial" w:cs="Arial" w:eastAsia="Arial" w:hAnsi="Arial"/>
          <w:color w:val="1E1E1E"/>
          <w:sz w:val="24"/>
          <w:szCs w:val="24"/>
        </w:rPr>
        <w:t xml:space="preserve">The inspector checks each action on its due date and signs it off in the corrective action log. The next full inspection is due in May 2027, or earlier if the depot changes its layout or its number of employees.</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Health and Safety Officer</w:t>
      </w:r>
    </w:p>
    <w:p>
      <w:pPr>
        <w:keepNext/>
        <w:spacing w:after="120"/>
      </w:pPr>
      <w:r>
        <w:rPr>
          <w:rFonts w:ascii="Arial" w:cs="Arial" w:eastAsia="Arial" w:hAnsi="Arial"/>
          <w:color w:val="1E1E1E"/>
          <w:sz w:val="24"/>
          <w:szCs w:val="24"/>
        </w:rPr>
        <w:t xml:space="preserve">Karabo Mokoena, Date: ________</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Health and safety representative</w:t>
      </w:r>
    </w:p>
    <w:p>
      <w:pPr>
        <w:keepNext/>
        <w:spacing w:after="120"/>
      </w:pPr>
      <w:r>
        <w:rPr>
          <w:rFonts w:ascii="Arial" w:cs="Arial" w:eastAsia="Arial" w:hAnsi="Arial"/>
          <w:color w:val="1E1E1E"/>
          <w:sz w:val="24"/>
          <w:szCs w:val="24"/>
        </w:rPr>
        <w:t xml:space="preserve">Elna Botha, Date: ________</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Depot Manager (appointed under section 16(2))</w:t>
      </w:r>
    </w:p>
    <w:p>
      <w:pPr>
        <w:keepNext/>
        <w:spacing w:after="120"/>
      </w:pPr>
      <w:r>
        <w:rPr>
          <w:rFonts w:ascii="Arial" w:cs="Arial" w:eastAsia="Arial" w:hAnsi="Arial"/>
          <w:color w:val="1E1E1E"/>
          <w:sz w:val="24"/>
          <w:szCs w:val="24"/>
        </w:rPr>
        <w:t xml:space="preserve">Hendrik Coetzee, Date: ________</w:t>
      </w:r>
    </w:p>
    <w:p>
      <w:pPr>
        <w:pBdr>
          <w:left w:val="single" w:color="C1272D" w:sz="18" w:space="8"/>
        </w:pBdr>
        <w:spacing w:before="240" w:line="300" w:lineRule="auto"/>
        <w:jc w:val="both"/>
      </w:pPr>
      <w:r>
        <w:rPr>
          <w:rFonts w:ascii="Arial" w:cs="Arial" w:eastAsia="Arial" w:hAnsi="Arial"/>
          <w:color w:val="555555"/>
          <w:sz w:val="20"/>
          <w:szCs w:val="20"/>
        </w:rPr>
        <w:t xml:space="preserve">End of the example. The company, people and records in it are fictitious; the cover page explains how to use it.</w:t>
      </w:r>
    </w:p>
    <w:sectPr>
      <w:headerReference w:type="default" r:id="rId9"/>
      <w:footerReference w:type="default" r:id="rId10"/>
      <w:pgSz w:w="11906" w:h="16838" w:orient="portrait"/>
      <w:pgMar w:top="1440" w:right="1440" w:bottom="2700" w:left="1440"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14425">
          <wp:simplePos x="0" y="0"/>
          <wp:positionH relativeFrom="column">
            <wp:posOffset>-819150</wp:posOffset>
          </wp:positionH>
          <wp:positionV relativeFrom="page">
            <wp:posOffset>114300</wp:posOffset>
          </wp:positionV>
          <wp:extent cx="7315200" cy="1114425"/>
          <wp:effectExtent t="0" r="0" b="0" l="0"/>
          <wp:wrapNone/>
          <wp:docPr id="1" name="header" descr="Care Net Consultants letterhead header banner" title="Care Net Consultant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315200" cy="11144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C1272D"/>
        <w:sz w:val="16"/>
        <w:szCs w:val="16"/>
      </w:rPr>
      <w:t xml:space="preserve">EXAMPLE DOCUMENT. The company, people and records on this page are fictitious. For guidance only; not a document to sign or rely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er2.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d240f2422258f13315ffe458878fb9a30d43a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Welfare and Facilities Inspection Checklist</dc:title>
  <dc:creator>Care Net Consultants (Pty) Ltd</dc:creator>
  <dc:description>Example document for a Health and Safety File. Fictitious; for guidance only.</dc:description>
  <cp:lastModifiedBy>Un-named</cp:lastModifiedBy>
  <cp:revision>1</cp:revision>
  <dcterms:created xsi:type="dcterms:W3CDTF">2026-09-24T08:13:52.544Z</dcterms:created>
  <dcterms:modified xsi:type="dcterms:W3CDTF">2026-09-24T08:13:52.544Z</dcterms:modified>
</cp:coreProperties>
</file>

<file path=docProps/custom.xml><?xml version="1.0" encoding="utf-8"?>
<Properties xmlns="http://schemas.openxmlformats.org/officeDocument/2006/custom-properties" xmlns:vt="http://schemas.openxmlformats.org/officeDocument/2006/docPropsVTypes"/>
</file>