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Arial" w:cs="Arial" w:eastAsia="Arial" w:hAnsi="Arial"/>
          <w:b/>
          <w:bCs/>
          <w:color w:val="C1272D"/>
          <w:sz w:val="18"/>
          <w:szCs w:val="18"/>
        </w:rPr>
        <w:t xml:space="preserve">EXAMPLE DOCUMENT. Tavoreng Steel Fabricators (Pty) Ltd is a fictitious company. Every company, person, address, date, figure and reference number in this example is made up; only the Care Net letterhead and any public emergency number are real. For guidance only; not a document to sign or rely on.</w:t>
      </w:r>
    </w:p>
    <w:p>
      <w:pPr>
        <w:spacing w:after="120"/>
      </w:pPr>
      <w:r>
        <w:rPr>
          <w:rFonts w:ascii="Arial" w:cs="Arial" w:eastAsia="Arial" w:hAnsi="Arial"/>
          <w:b/>
          <w:bCs/>
          <w:color w:val="C1272D"/>
          <w:sz w:val="22"/>
          <w:szCs w:val="22"/>
        </w:rPr>
        <w:t xml:space="preserve">Example for a Health and Safety File, Section E: Medical surveillance and fitness</w:t>
      </w:r>
    </w:p>
    <w:p>
      <w:pPr>
        <w:pStyle w:val="Heading1"/>
        <w:keepNext/>
        <w:spacing w:after="160" w:before="120"/>
      </w:pPr>
      <w:r>
        <w:rPr>
          <w:rFonts w:ascii="Arial" w:cs="Arial" w:eastAsia="Arial" w:hAnsi="Arial"/>
          <w:b/>
          <w:bCs/>
          <w:color w:val="8B0000"/>
          <w:sz w:val="32"/>
          <w:szCs w:val="32"/>
        </w:rPr>
        <w:t xml:space="preserve">Certificates of Fitness: Cover Note</w:t>
      </w:r>
    </w:p>
    <w:p>
      <w:pPr>
        <w:spacing w:after="200"/>
      </w:pPr>
      <w:r>
        <w:rPr>
          <w:rFonts w:ascii="Arial" w:cs="Arial" w:eastAsia="Arial" w:hAnsi="Arial"/>
          <w:b/>
          <w:bCs/>
          <w:color w:val="1E1E1E"/>
          <w:sz w:val="24"/>
          <w:szCs w:val="24"/>
        </w:rPr>
        <w:t xml:space="preserve">Outcomes of the August 2026 fitness screening, Vanderbijlpark workshop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6138"/>
      </w:tblGrid>
      <w:tr>
        <w:trPr>
          <w:tblHeader/>
        </w:trPr>
        <w:tc>
          <w:tcPr>
            <w:tcW w:type="dxa" w:w="2888"/>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About this example</w:t>
            </w:r>
          </w:p>
        </w:tc>
        <w:tc>
          <w:tcPr>
            <w:tcW w:type="dxa" w:w="6138"/>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Detail</w:t>
            </w:r>
          </w:p>
        </w:tc>
      </w:tr>
      <w:tr>
        <w:trPr>
          <w:cantSplit/>
        </w:trP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Company in the example</w:t>
            </w:r>
          </w:p>
        </w:tc>
        <w:tc>
          <w:tcPr>
            <w:tcW w:type="dxa" w:w="6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Tavoreng Steel Fabricators (Pty) Ltd, a fictitious company</w:t>
            </w:r>
          </w:p>
        </w:tc>
      </w:tr>
      <w:tr>
        <w:trPr>
          <w:cantSplit/>
        </w:trPr>
        <w:tc>
          <w:tcPr>
            <w:tcW w:type="dxa" w:w="2888"/>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Where it is filed</w:t>
            </w:r>
          </w:p>
        </w:tc>
        <w:tc>
          <w:tcPr>
            <w:tcW w:type="dxa" w:w="6138"/>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Section E: Medical surveillance and fitness</w:t>
            </w:r>
          </w:p>
        </w:tc>
      </w:tr>
      <w:tr>
        <w:trPr>
          <w:cantSplit/>
        </w:trPr>
        <w:tc>
          <w:tcPr>
            <w:tcW w:type="dxa" w:w="28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Published by</w:t>
            </w:r>
          </w:p>
        </w:tc>
        <w:tc>
          <w:tcPr>
            <w:tcW w:type="dxa" w:w="6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Care Net Consultants, as guidance for companies building a Health and Safety File</w:t>
            </w:r>
          </w:p>
        </w:tc>
      </w:tr>
    </w:tbl>
    <w:p>
      <w:pPr>
        <w:spacing w:after="120"/>
      </w:pPr>
    </w:p>
    <w:p>
      <w:pPr>
        <w:pStyle w:val="Heading2"/>
        <w:keepNext/>
        <w:spacing w:after="120" w:before="240"/>
      </w:pPr>
      <w:r>
        <w:rPr>
          <w:rFonts w:ascii="Arial" w:cs="Arial" w:eastAsia="Arial" w:hAnsi="Arial"/>
          <w:b/>
          <w:bCs/>
          <w:color w:val="C1272D"/>
          <w:sz w:val="28"/>
          <w:szCs w:val="28"/>
        </w:rPr>
        <w:t xml:space="preserve">How to use this example</w:t>
      </w:r>
    </w:p>
    <w:p>
      <w:pPr>
        <w:spacing w:after="120" w:line="360" w:lineRule="auto"/>
        <w:jc w:val="both"/>
      </w:pPr>
      <w:r>
        <w:rPr>
          <w:rFonts w:ascii="Arial" w:cs="Arial" w:eastAsia="Arial" w:hAnsi="Arial"/>
          <w:color w:val="1E1E1E"/>
          <w:sz w:val="24"/>
          <w:szCs w:val="24"/>
        </w:rPr>
        <w:t xml:space="preserve">This example shows the form and content Care Net recommends for this document in a Health and Safety File. Adapt it to your company, your sites and your appointments; your registered Health and Safety practitioner confirms it before your File is released. Not legal advice.</w:t>
      </w:r>
    </w:p>
    <w:p>
      <w:pPr>
        <w:pStyle w:val="Heading2"/>
        <w:keepNext/>
        <w:spacing w:after="120" w:before="240"/>
      </w:pPr>
      <w:r>
        <w:rPr>
          <w:rFonts w:ascii="Arial" w:cs="Arial" w:eastAsia="Arial" w:hAnsi="Arial"/>
          <w:b/>
          <w:bCs/>
          <w:color w:val="C1272D"/>
          <w:sz w:val="28"/>
          <w:szCs w:val="28"/>
        </w:rPr>
        <w:t xml:space="preserve">Contents</w:t>
      </w:r>
    </w:p>
    <w:p>
      <w:pPr>
        <w:spacing w:after="40" w:line="300" w:lineRule="auto"/>
      </w:pPr>
      <w:r>
        <w:rPr>
          <w:rFonts w:ascii="Arial" w:cs="Arial" w:eastAsia="Arial" w:hAnsi="Arial"/>
          <w:color w:val="1E1E1E"/>
          <w:sz w:val="24"/>
          <w:szCs w:val="24"/>
        </w:rPr>
        <w:t xml:space="preserve">1. Purpose</w:t>
      </w:r>
    </w:p>
    <w:p>
      <w:pPr>
        <w:spacing w:after="40" w:line="300" w:lineRule="auto"/>
      </w:pPr>
      <w:r>
        <w:rPr>
          <w:rFonts w:ascii="Arial" w:cs="Arial" w:eastAsia="Arial" w:hAnsi="Arial"/>
          <w:color w:val="1E1E1E"/>
          <w:sz w:val="24"/>
          <w:szCs w:val="24"/>
        </w:rPr>
        <w:t xml:space="preserve">2. Outcomes</w:t>
      </w:r>
    </w:p>
    <w:p>
      <w:pPr>
        <w:spacing w:after="40" w:line="300" w:lineRule="auto"/>
      </w:pPr>
      <w:r>
        <w:rPr>
          <w:rFonts w:ascii="Arial" w:cs="Arial" w:eastAsia="Arial" w:hAnsi="Arial"/>
          <w:color w:val="1E1E1E"/>
          <w:sz w:val="24"/>
          <w:szCs w:val="24"/>
        </w:rPr>
        <w:t xml:space="preserve">3. What we did with each outcome</w:t>
      </w:r>
    </w:p>
    <w:p>
      <w:pPr>
        <w:spacing w:after="40" w:line="300" w:lineRule="auto"/>
      </w:pPr>
      <w:r>
        <w:rPr>
          <w:rFonts w:ascii="Arial" w:cs="Arial" w:eastAsia="Arial" w:hAnsi="Arial"/>
          <w:color w:val="1E1E1E"/>
          <w:sz w:val="24"/>
          <w:szCs w:val="24"/>
        </w:rPr>
        <w:t xml:space="preserve">4. Confidentiality and where the records are</w:t>
      </w:r>
    </w:p>
    <w:p>
      <w:pPr>
        <w:sectPr>
          <w:headerReference w:type="default" r:id="rId7"/>
          <w:footerReference w:type="default" r:id="rId8"/>
          <w:pgSz w:w="11906" w:h="16838" w:orient="portrait"/>
          <w:pgMar w:top="2520" w:right="1440" w:bottom="2700" w:left="1440" w:header="425" w:footer="708" w:gutter="0"/>
          <w:pgNumType/>
          <w:docGrid w:linePitch="360"/>
        </w:sectPr>
      </w:pPr>
    </w:p>
    <w:p>
      <w:pPr>
        <w:pStyle w:val="Heading1"/>
        <w:keepNext/>
        <w:spacing w:after="160" w:before="120"/>
      </w:pPr>
      <w:r>
        <w:rPr>
          <w:rFonts w:ascii="Arial" w:cs="Arial" w:eastAsia="Arial" w:hAnsi="Arial"/>
          <w:b/>
          <w:bCs/>
          <w:color w:val="8B0000"/>
          <w:sz w:val="32"/>
          <w:szCs w:val="32"/>
        </w:rPr>
        <w:t xml:space="preserve">Certificates of Fitness: Cover Note</w:t>
      </w:r>
    </w:p>
    <w:p>
      <w:pPr>
        <w:spacing w:after="200"/>
      </w:pPr>
      <w:r>
        <w:rPr>
          <w:rFonts w:ascii="Arial" w:cs="Arial" w:eastAsia="Arial" w:hAnsi="Arial"/>
          <w:b/>
          <w:bCs/>
          <w:color w:val="1E1E1E"/>
          <w:sz w:val="24"/>
          <w:szCs w:val="24"/>
        </w:rPr>
        <w:t xml:space="preserve">Outcomes of the August 2026 fitness screening, Vanderbijlpark workshop</w:t>
      </w:r>
    </w:p>
    <w:p>
      <w:pPr>
        <w:pStyle w:val="Heading2"/>
        <w:keepNext/>
        <w:spacing w:after="120" w:before="240"/>
      </w:pPr>
      <w:r>
        <w:rPr>
          <w:rFonts w:ascii="Arial" w:cs="Arial" w:eastAsia="Arial" w:hAnsi="Arial"/>
          <w:b/>
          <w:bCs/>
          <w:color w:val="C1272D"/>
          <w:sz w:val="28"/>
          <w:szCs w:val="28"/>
        </w:rPr>
        <w:t xml:space="preserve">1. Purpose</w:t>
      </w:r>
    </w:p>
    <w:p>
      <w:pPr>
        <w:spacing w:after="120" w:line="360" w:lineRule="auto"/>
        <w:jc w:val="both"/>
      </w:pPr>
      <w:r>
        <w:rPr>
          <w:rFonts w:ascii="Arial" w:cs="Arial" w:eastAsia="Arial" w:hAnsi="Arial"/>
          <w:color w:val="1E1E1E"/>
          <w:sz w:val="24"/>
          <w:szCs w:val="24"/>
        </w:rPr>
        <w:t xml:space="preserve">This note covers the certificates of fitness filed in Section E after the fitness screening of </w:t>
      </w:r>
      <w:r>
        <w:rPr>
          <w:rFonts w:ascii="Arial" w:cs="Arial" w:eastAsia="Arial" w:hAnsi="Arial"/>
          <w:b/>
          <w:bCs/>
          <w:color w:val="1E1E1E"/>
          <w:sz w:val="24"/>
          <w:szCs w:val="24"/>
        </w:rPr>
        <w:t xml:space="preserve">18 and 19 August 2026</w:t>
      </w:r>
      <w:r>
        <w:rPr>
          <w:rFonts w:ascii="Arial" w:cs="Arial" w:eastAsia="Arial" w:hAnsi="Arial"/>
          <w:color w:val="1E1E1E"/>
          <w:sz w:val="24"/>
          <w:szCs w:val="24"/>
        </w:rPr>
        <w:t xml:space="preserve"> at our workshop, 27 Rhodes Avenue, Vanderbijlpark. It lists the </w:t>
      </w:r>
      <w:r>
        <w:rPr>
          <w:rFonts w:ascii="Arial" w:cs="Arial" w:eastAsia="Arial" w:hAnsi="Arial"/>
          <w:b/>
          <w:bCs/>
          <w:color w:val="1E1E1E"/>
          <w:sz w:val="24"/>
          <w:szCs w:val="24"/>
        </w:rPr>
        <w:t xml:space="preserve">outcome only</w:t>
      </w:r>
      <w:r>
        <w:rPr>
          <w:rFonts w:ascii="Arial" w:cs="Arial" w:eastAsia="Arial" w:hAnsi="Arial"/>
          <w:color w:val="1E1E1E"/>
          <w:sz w:val="24"/>
          <w:szCs w:val="24"/>
        </w:rPr>
        <w:t xml:space="preserve"> for each person: fit, fit with restrictions, or unfit. For an exit examination it records only that the examination was done. Care Net Consultants screened fitness for work against the exposures in our risk assessment; Care Net screens fitness and does not diagnose. Each certificate was signed by the occupational medical practitioner (OMP).</w:t>
      </w:r>
    </w:p>
    <w:p>
      <w:pPr>
        <w:pStyle w:val="Heading2"/>
        <w:keepNext/>
        <w:spacing w:after="120" w:before="240"/>
      </w:pPr>
      <w:r>
        <w:rPr>
          <w:rFonts w:ascii="Arial" w:cs="Arial" w:eastAsia="Arial" w:hAnsi="Arial"/>
          <w:b/>
          <w:bCs/>
          <w:color w:val="C1272D"/>
          <w:sz w:val="28"/>
          <w:szCs w:val="28"/>
        </w:rPr>
        <w:t xml:space="preserve">2. Outcomes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15"/>
        <w:gridCol w:w="1715"/>
        <w:gridCol w:w="993"/>
        <w:gridCol w:w="1264"/>
        <w:gridCol w:w="2076"/>
        <w:gridCol w:w="1263"/>
      </w:tblGrid>
      <w:tr>
        <w:trPr>
          <w:tblHeader/>
        </w:trPr>
        <w:tc>
          <w:tcPr>
            <w:tcW w:type="dxa" w:w="1715"/>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Employee</w:t>
            </w:r>
          </w:p>
        </w:tc>
        <w:tc>
          <w:tcPr>
            <w:tcW w:type="dxa" w:w="1715"/>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Job role</w:t>
            </w:r>
          </w:p>
        </w:tc>
        <w:tc>
          <w:tcPr>
            <w:tcW w:type="dxa" w:w="993"/>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Type</w:t>
            </w:r>
          </w:p>
        </w:tc>
        <w:tc>
          <w:tcPr>
            <w:tcW w:type="dxa" w:w="1264"/>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Date</w:t>
            </w:r>
          </w:p>
        </w:tc>
        <w:tc>
          <w:tcPr>
            <w:tcW w:type="dxa" w:w="2076"/>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Outcome</w:t>
            </w:r>
          </w:p>
        </w:tc>
        <w:tc>
          <w:tcPr>
            <w:tcW w:type="dxa" w:w="1263"/>
            <w:tcBorders>
              <w:top w:val="single" w:color="BFBFBF" w:sz="4"/>
              <w:left w:val="single" w:color="BFBFBF" w:sz="4"/>
              <w:bottom w:val="single" w:color="BFBFBF" w:sz="4"/>
              <w:right w:val="single" w:color="BFBFBF" w:sz="4"/>
            </w:tcBorders>
            <w:shd w:fill="8B0000" w:val="clear"/>
            <w:tcMar>
              <w:top w:type="dxa" w:w="60"/>
              <w:left w:type="dxa" w:w="100"/>
              <w:bottom w:type="dxa" w:w="60"/>
              <w:right w:type="dxa" w:w="100"/>
            </w:tcMar>
          </w:tcPr>
          <w:p>
            <w:pPr>
              <w:spacing w:line="276" w:lineRule="auto"/>
            </w:pPr>
            <w:r>
              <w:rPr>
                <w:rFonts w:ascii="Arial" w:cs="Arial" w:eastAsia="Arial" w:hAnsi="Arial"/>
                <w:b/>
                <w:bCs/>
                <w:color w:val="FFFFFF"/>
                <w:sz w:val="20"/>
                <w:szCs w:val="20"/>
              </w:rPr>
              <w:t xml:space="preserve">Next screening</w:t>
            </w:r>
          </w:p>
        </w:tc>
      </w:tr>
      <w:tr>
        <w:trPr>
          <w:cantSplit/>
        </w:trPr>
        <w:tc>
          <w:tcPr>
            <w:tcW w:type="dxa" w:w="17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Mandla Radebe</w:t>
            </w:r>
          </w:p>
        </w:tc>
        <w:tc>
          <w:tcPr>
            <w:tcW w:type="dxa" w:w="17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Welder</w:t>
            </w:r>
          </w:p>
        </w:tc>
        <w:tc>
          <w:tcPr>
            <w:tcW w:type="dxa" w:w="9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Periodic</w:t>
            </w:r>
          </w:p>
        </w:tc>
        <w:tc>
          <w:tcPr>
            <w:tcW w:type="dxa" w:w="1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18/08/2026</w:t>
            </w:r>
          </w:p>
        </w:tc>
        <w:tc>
          <w:tcPr>
            <w:tcW w:type="dxa" w:w="2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Fit</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Per the Plan</w:t>
            </w:r>
          </w:p>
        </w:tc>
      </w:tr>
      <w:tr>
        <w:trPr>
          <w:cantSplit/>
        </w:trPr>
        <w:tc>
          <w:tcPr>
            <w:tcW w:type="dxa" w:w="1715"/>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Stefan du Toit</w:t>
            </w:r>
          </w:p>
        </w:tc>
        <w:tc>
          <w:tcPr>
            <w:tcW w:type="dxa" w:w="1715"/>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Boilermaker</w:t>
            </w:r>
          </w:p>
        </w:tc>
        <w:tc>
          <w:tcPr>
            <w:tcW w:type="dxa" w:w="993"/>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Periodic</w:t>
            </w:r>
          </w:p>
        </w:tc>
        <w:tc>
          <w:tcPr>
            <w:tcW w:type="dxa" w:w="126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18/08/2026</w:t>
            </w:r>
          </w:p>
        </w:tc>
        <w:tc>
          <w:tcPr>
            <w:tcW w:type="dxa" w:w="207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Fit</w:t>
            </w:r>
          </w:p>
        </w:tc>
        <w:tc>
          <w:tcPr>
            <w:tcW w:type="dxa" w:w="1263"/>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Per the Plan</w:t>
            </w:r>
          </w:p>
        </w:tc>
      </w:tr>
      <w:tr>
        <w:trPr>
          <w:cantSplit/>
        </w:trPr>
        <w:tc>
          <w:tcPr>
            <w:tcW w:type="dxa" w:w="17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Nthabiseng Mofokeng</w:t>
            </w:r>
          </w:p>
        </w:tc>
        <w:tc>
          <w:tcPr>
            <w:tcW w:type="dxa" w:w="17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Spray Painter</w:t>
            </w:r>
          </w:p>
        </w:tc>
        <w:tc>
          <w:tcPr>
            <w:tcW w:type="dxa" w:w="9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Periodic</w:t>
            </w:r>
          </w:p>
        </w:tc>
        <w:tc>
          <w:tcPr>
            <w:tcW w:type="dxa" w:w="1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18/08/2026</w:t>
            </w:r>
          </w:p>
        </w:tc>
        <w:tc>
          <w:tcPr>
            <w:tcW w:type="dxa" w:w="2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Fit with restrictions</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As the OMP sets</w:t>
            </w:r>
          </w:p>
        </w:tc>
      </w:tr>
      <w:tr>
        <w:trPr>
          <w:cantSplit/>
        </w:trPr>
        <w:tc>
          <w:tcPr>
            <w:tcW w:type="dxa" w:w="1715"/>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Kabelo Tau</w:t>
            </w:r>
          </w:p>
        </w:tc>
        <w:tc>
          <w:tcPr>
            <w:tcW w:type="dxa" w:w="1715"/>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Overhead Crane Operator</w:t>
            </w:r>
          </w:p>
        </w:tc>
        <w:tc>
          <w:tcPr>
            <w:tcW w:type="dxa" w:w="993"/>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Baseline</w:t>
            </w:r>
          </w:p>
        </w:tc>
        <w:tc>
          <w:tcPr>
            <w:tcW w:type="dxa" w:w="126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19/08/2026</w:t>
            </w:r>
          </w:p>
        </w:tc>
        <w:tc>
          <w:tcPr>
            <w:tcW w:type="dxa" w:w="207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Fit</w:t>
            </w:r>
          </w:p>
        </w:tc>
        <w:tc>
          <w:tcPr>
            <w:tcW w:type="dxa" w:w="1263"/>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Per the Plan</w:t>
            </w:r>
          </w:p>
        </w:tc>
      </w:tr>
      <w:tr>
        <w:trPr>
          <w:cantSplit/>
        </w:trPr>
        <w:tc>
          <w:tcPr>
            <w:tcW w:type="dxa" w:w="17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Themba Ndlovu</w:t>
            </w:r>
          </w:p>
        </w:tc>
        <w:tc>
          <w:tcPr>
            <w:tcW w:type="dxa" w:w="17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Grinder</w:t>
            </w:r>
          </w:p>
        </w:tc>
        <w:tc>
          <w:tcPr>
            <w:tcW w:type="dxa" w:w="9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Periodic</w:t>
            </w:r>
          </w:p>
        </w:tc>
        <w:tc>
          <w:tcPr>
            <w:tcW w:type="dxa" w:w="12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19/08/2026</w:t>
            </w:r>
          </w:p>
        </w:tc>
        <w:tc>
          <w:tcPr>
            <w:tcW w:type="dxa" w:w="2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Unfit</w:t>
            </w:r>
          </w:p>
        </w:tc>
        <w:tc>
          <w:tcPr>
            <w:tcW w:type="dxa" w:w="12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As the OMP sets</w:t>
            </w:r>
          </w:p>
        </w:tc>
      </w:tr>
      <w:tr>
        <w:trPr>
          <w:cantSplit/>
        </w:trPr>
        <w:tc>
          <w:tcPr>
            <w:tcW w:type="dxa" w:w="1715"/>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Anele Jacobs</w:t>
            </w:r>
          </w:p>
        </w:tc>
        <w:tc>
          <w:tcPr>
            <w:tcW w:type="dxa" w:w="1715"/>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Welder</w:t>
            </w:r>
          </w:p>
        </w:tc>
        <w:tc>
          <w:tcPr>
            <w:tcW w:type="dxa" w:w="993"/>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Exit</w:t>
            </w:r>
          </w:p>
        </w:tc>
        <w:tc>
          <w:tcPr>
            <w:tcW w:type="dxa" w:w="1264"/>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19/08/2026</w:t>
            </w:r>
          </w:p>
        </w:tc>
        <w:tc>
          <w:tcPr>
            <w:tcW w:type="dxa" w:w="2076"/>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Exit examination done; record held by the OMP</w:t>
            </w:r>
          </w:p>
        </w:tc>
        <w:tc>
          <w:tcPr>
            <w:tcW w:type="dxa" w:w="1263"/>
            <w:tcBorders>
              <w:top w:val="single" w:color="BFBFBF" w:sz="4"/>
              <w:left w:val="single" w:color="BFBFBF" w:sz="4"/>
              <w:bottom w:val="single" w:color="BFBFBF" w:sz="4"/>
              <w:right w:val="single" w:color="BFBFBF" w:sz="4"/>
            </w:tcBorders>
            <w:shd w:fill="F2F2F2" w:val="clear"/>
            <w:tcMar>
              <w:top w:type="dxa" w:w="60"/>
              <w:left w:type="dxa" w:w="100"/>
              <w:bottom w:type="dxa" w:w="60"/>
              <w:right w:type="dxa" w:w="100"/>
            </w:tcMar>
          </w:tcPr>
          <w:p>
            <w:pPr>
              <w:spacing w:line="276" w:lineRule="auto"/>
            </w:pPr>
            <w:r>
              <w:rPr>
                <w:rFonts w:ascii="Arial" w:cs="Arial" w:eastAsia="Arial" w:hAnsi="Arial"/>
                <w:b w:val="false"/>
                <w:bCs w:val="false"/>
                <w:color w:val="1E1E1E"/>
                <w:sz w:val="20"/>
                <w:szCs w:val="20"/>
              </w:rPr>
              <w:t xml:space="preserve">Not applicable</w:t>
            </w:r>
          </w:p>
        </w:tc>
      </w:tr>
    </w:tbl>
    <w:p>
      <w:pPr>
        <w:spacing w:after="120"/>
      </w:pPr>
    </w:p>
    <w:p>
      <w:pPr>
        <w:spacing w:after="120" w:line="360" w:lineRule="auto"/>
        <w:jc w:val="both"/>
      </w:pPr>
      <w:r>
        <w:rPr>
          <w:rFonts w:ascii="Arial" w:cs="Arial" w:eastAsia="Arial" w:hAnsi="Arial"/>
          <w:b/>
          <w:bCs/>
          <w:color w:val="1E1E1E"/>
          <w:sz w:val="24"/>
          <w:szCs w:val="24"/>
        </w:rPr>
        <w:t xml:space="preserve">Per the Plan</w:t>
      </w:r>
      <w:r>
        <w:rPr>
          <w:rFonts w:ascii="Arial" w:cs="Arial" w:eastAsia="Arial" w:hAnsi="Arial"/>
          <w:color w:val="1E1E1E"/>
          <w:sz w:val="24"/>
          <w:szCs w:val="24"/>
        </w:rPr>
        <w:t xml:space="preserve"> means the interval the Medical Surveillance Plan, a separate Care Net product, sets for that job role. Where a person is fit with restrictions or unfit, the OMP sets the next screening.</w:t>
      </w:r>
    </w:p>
    <w:p>
      <w:pPr>
        <w:pStyle w:val="Heading2"/>
        <w:keepNext/>
        <w:spacing w:after="120" w:before="240"/>
      </w:pPr>
      <w:r>
        <w:rPr>
          <w:rFonts w:ascii="Arial" w:cs="Arial" w:eastAsia="Arial" w:hAnsi="Arial"/>
          <w:b/>
          <w:bCs/>
          <w:color w:val="C1272D"/>
          <w:sz w:val="28"/>
          <w:szCs w:val="28"/>
        </w:rPr>
        <w:t xml:space="preserve">3. What we did with each outcome</w:t>
      </w:r>
    </w:p>
    <w:p>
      <w:pPr>
        <w:pStyle w:val="ListParagraph"/>
        <w:numPr>
          <w:ilvl w:val="0"/>
          <w:numId w:val="2"/>
        </w:numPr>
        <w:spacing w:after="60" w:line="360" w:lineRule="auto"/>
        <w:jc w:val="both"/>
      </w:pPr>
      <w:r>
        <w:rPr>
          <w:rFonts w:ascii="Arial" w:cs="Arial" w:eastAsia="Arial" w:hAnsi="Arial"/>
          <w:b/>
          <w:bCs/>
          <w:color w:val="1E1E1E"/>
          <w:sz w:val="24"/>
          <w:szCs w:val="24"/>
        </w:rPr>
        <w:t xml:space="preserve">Fit with restrictions:</w:t>
      </w:r>
      <w:r>
        <w:rPr>
          <w:rFonts w:ascii="Arial" w:cs="Arial" w:eastAsia="Arial" w:hAnsi="Arial"/>
          <w:color w:val="1E1E1E"/>
          <w:sz w:val="24"/>
          <w:szCs w:val="24"/>
        </w:rPr>
        <w:t xml:space="preserve"> the practitioner gave us the work restriction in writing. The supervisor has placed the employee in work within the restriction and the restriction date is diarised. No reason is recorded in this File.</w:t>
      </w:r>
    </w:p>
    <w:p>
      <w:pPr>
        <w:pStyle w:val="ListParagraph"/>
        <w:numPr>
          <w:ilvl w:val="0"/>
          <w:numId w:val="2"/>
        </w:numPr>
        <w:spacing w:after="60" w:line="360" w:lineRule="auto"/>
        <w:jc w:val="both"/>
      </w:pPr>
      <w:r>
        <w:rPr>
          <w:rFonts w:ascii="Arial" w:cs="Arial" w:eastAsia="Arial" w:hAnsi="Arial"/>
          <w:b/>
          <w:bCs/>
          <w:color w:val="1E1E1E"/>
          <w:sz w:val="24"/>
          <w:szCs w:val="24"/>
        </w:rPr>
        <w:t xml:space="preserve">Unfit:</w:t>
      </w:r>
      <w:r>
        <w:rPr>
          <w:rFonts w:ascii="Arial" w:cs="Arial" w:eastAsia="Arial" w:hAnsi="Arial"/>
          <w:color w:val="1E1E1E"/>
          <w:sz w:val="24"/>
          <w:szCs w:val="24"/>
        </w:rPr>
        <w:t xml:space="preserve"> the employee no longer does the work the certificate covers and has been placed in available work without that exposure, while the occupational medical practitioner manages the follow up. Human Resources handles any further steps with the employee, fairly and in confidence.</w:t>
      </w:r>
    </w:p>
    <w:p>
      <w:pPr>
        <w:pStyle w:val="ListParagraph"/>
        <w:numPr>
          <w:ilvl w:val="0"/>
          <w:numId w:val="2"/>
        </w:numPr>
        <w:spacing w:after="60" w:line="360" w:lineRule="auto"/>
        <w:jc w:val="both"/>
      </w:pPr>
      <w:r>
        <w:rPr>
          <w:rFonts w:ascii="Arial" w:cs="Arial" w:eastAsia="Arial" w:hAnsi="Arial"/>
          <w:b/>
          <w:bCs/>
          <w:color w:val="1E1E1E"/>
          <w:sz w:val="24"/>
          <w:szCs w:val="24"/>
        </w:rPr>
        <w:t xml:space="preserve">Exit:</w:t>
      </w:r>
      <w:r>
        <w:rPr>
          <w:rFonts w:ascii="Arial" w:cs="Arial" w:eastAsia="Arial" w:hAnsi="Arial"/>
          <w:color w:val="1E1E1E"/>
          <w:sz w:val="24"/>
          <w:szCs w:val="24"/>
        </w:rPr>
        <w:t xml:space="preserve"> an exit examination records the employee's health when the exposure ends; it does not certify fitness for work. The occupational medical practitioner holds the record, and this File notes only that the examination was done, kept for the retention period the applicable regulations set.</w:t>
      </w:r>
    </w:p>
    <w:p>
      <w:pPr>
        <w:pStyle w:val="Heading2"/>
        <w:keepNext/>
        <w:spacing w:after="120" w:before="240"/>
      </w:pPr>
      <w:r>
        <w:rPr>
          <w:rFonts w:ascii="Arial" w:cs="Arial" w:eastAsia="Arial" w:hAnsi="Arial"/>
          <w:b/>
          <w:bCs/>
          <w:color w:val="C1272D"/>
          <w:sz w:val="28"/>
          <w:szCs w:val="28"/>
        </w:rPr>
        <w:t xml:space="preserve">4. Confidentiality and where the records are</w:t>
      </w:r>
    </w:p>
    <w:p>
      <w:pPr>
        <w:pStyle w:val="ListParagraph"/>
        <w:numPr>
          <w:ilvl w:val="0"/>
          <w:numId w:val="3"/>
        </w:numPr>
        <w:spacing w:after="60" w:line="360" w:lineRule="auto"/>
        <w:jc w:val="both"/>
      </w:pPr>
      <w:r>
        <w:rPr>
          <w:rFonts w:ascii="Arial" w:cs="Arial" w:eastAsia="Arial" w:hAnsi="Arial"/>
          <w:color w:val="1E1E1E"/>
          <w:sz w:val="24"/>
          <w:szCs w:val="24"/>
        </w:rPr>
        <w:t xml:space="preserve">Clinical records and test results stay with the occupational health practitioner and are never filed in the Health and Safety File.</w:t>
      </w:r>
    </w:p>
    <w:p>
      <w:pPr>
        <w:pStyle w:val="ListParagraph"/>
        <w:numPr>
          <w:ilvl w:val="0"/>
          <w:numId w:val="3"/>
        </w:numPr>
        <w:spacing w:after="60" w:line="360" w:lineRule="auto"/>
        <w:jc w:val="both"/>
      </w:pPr>
      <w:r>
        <w:rPr>
          <w:rFonts w:ascii="Arial" w:cs="Arial" w:eastAsia="Arial" w:hAnsi="Arial"/>
          <w:color w:val="1E1E1E"/>
          <w:sz w:val="24"/>
          <w:szCs w:val="24"/>
        </w:rPr>
        <w:t xml:space="preserve">This File holds only the certificate of fitness showing the outcome, the job role and the date; access is limited to the Human Resources Manager, the Health and Safety Manager and an inspector on request.</w:t>
      </w:r>
    </w:p>
    <w:p>
      <w:pPr>
        <w:pStyle w:val="ListParagraph"/>
        <w:numPr>
          <w:ilvl w:val="0"/>
          <w:numId w:val="3"/>
        </w:numPr>
        <w:spacing w:after="60" w:line="360" w:lineRule="auto"/>
        <w:jc w:val="both"/>
      </w:pPr>
      <w:r>
        <w:rPr>
          <w:rFonts w:ascii="Arial" w:cs="Arial" w:eastAsia="Arial" w:hAnsi="Arial"/>
          <w:color w:val="1E1E1E"/>
          <w:sz w:val="24"/>
          <w:szCs w:val="24"/>
        </w:rPr>
        <w:t xml:space="preserve">The </w:t>
      </w:r>
      <w:r>
        <w:rPr>
          <w:rFonts w:ascii="Arial" w:cs="Arial" w:eastAsia="Arial" w:hAnsi="Arial"/>
          <w:b/>
          <w:bCs/>
          <w:color w:val="1E1E1E"/>
          <w:sz w:val="24"/>
          <w:szCs w:val="24"/>
        </w:rPr>
        <w:t xml:space="preserve">Medical Surveillance Plan</w:t>
      </w:r>
      <w:r>
        <w:rPr>
          <w:rFonts w:ascii="Arial" w:cs="Arial" w:eastAsia="Arial" w:hAnsi="Arial"/>
          <w:color w:val="1E1E1E"/>
          <w:sz w:val="24"/>
          <w:szCs w:val="24"/>
        </w:rPr>
        <w:t xml:space="preserve">, a separate Care Net product signed by the occupational medical practitioner, is filed in Section E ahead of these certificates as evidence; it sets who is screened, for which exposures and how often.</w:t>
      </w:r>
    </w:p>
    <w:p>
      <w:pPr>
        <w:keepNext/>
        <w:spacing w:before="360"/>
      </w:pPr>
    </w:p>
    <w:p>
      <w:pPr>
        <w:keepNext/>
      </w:pPr>
      <w:r>
        <w:rPr>
          <w:rFonts w:ascii="Arial" w:cs="Arial" w:eastAsia="Arial" w:hAnsi="Arial"/>
          <w:sz w:val="24"/>
          <w:szCs w:val="24"/>
        </w:rPr>
        <w:t xml:space="preserve">______________________________</w:t>
      </w:r>
    </w:p>
    <w:p>
      <w:pPr>
        <w:keepNext/>
        <w:spacing w:after="0"/>
      </w:pPr>
      <w:r>
        <w:rPr>
          <w:rFonts w:ascii="Arial" w:cs="Arial" w:eastAsia="Arial" w:hAnsi="Arial"/>
          <w:b/>
          <w:bCs/>
          <w:color w:val="1E1E1E"/>
          <w:sz w:val="24"/>
          <w:szCs w:val="24"/>
        </w:rPr>
        <w:t xml:space="preserve">Human Resources Manager</w:t>
      </w:r>
    </w:p>
    <w:p>
      <w:pPr>
        <w:keepNext/>
        <w:spacing w:after="120"/>
      </w:pPr>
      <w:r>
        <w:rPr>
          <w:rFonts w:ascii="Arial" w:cs="Arial" w:eastAsia="Arial" w:hAnsi="Arial"/>
          <w:color w:val="1E1E1E"/>
          <w:sz w:val="24"/>
          <w:szCs w:val="24"/>
        </w:rPr>
        <w:t xml:space="preserve">Refilwe Motaung, Date: 26/08/2026</w:t>
      </w:r>
    </w:p>
    <w:p>
      <w:pPr>
        <w:keepNext/>
        <w:spacing w:before="360"/>
      </w:pPr>
    </w:p>
    <w:p>
      <w:pPr>
        <w:keepNext/>
      </w:pPr>
      <w:r>
        <w:rPr>
          <w:rFonts w:ascii="Arial" w:cs="Arial" w:eastAsia="Arial" w:hAnsi="Arial"/>
          <w:sz w:val="24"/>
          <w:szCs w:val="24"/>
        </w:rPr>
        <w:t xml:space="preserve">______________________________</w:t>
      </w:r>
    </w:p>
    <w:p>
      <w:pPr>
        <w:keepNext/>
        <w:spacing w:after="0"/>
      </w:pPr>
      <w:r>
        <w:rPr>
          <w:rFonts w:ascii="Arial" w:cs="Arial" w:eastAsia="Arial" w:hAnsi="Arial"/>
          <w:b/>
          <w:bCs/>
          <w:color w:val="1E1E1E"/>
          <w:sz w:val="24"/>
          <w:szCs w:val="24"/>
        </w:rPr>
        <w:t xml:space="preserve">Health and Safety Manager</w:t>
      </w:r>
    </w:p>
    <w:p>
      <w:pPr>
        <w:keepNext/>
        <w:spacing w:after="120"/>
      </w:pPr>
      <w:r>
        <w:rPr>
          <w:rFonts w:ascii="Arial" w:cs="Arial" w:eastAsia="Arial" w:hAnsi="Arial"/>
          <w:color w:val="1E1E1E"/>
          <w:sz w:val="24"/>
          <w:szCs w:val="24"/>
        </w:rPr>
        <w:t xml:space="preserve">Charl Pienaar, Date: 26/08/2026</w:t>
      </w:r>
    </w:p>
    <w:p>
      <w:pPr>
        <w:pBdr>
          <w:left w:val="single" w:color="C1272D" w:sz="18" w:space="8"/>
        </w:pBdr>
        <w:spacing w:before="240" w:line="300" w:lineRule="auto"/>
        <w:jc w:val="both"/>
      </w:pPr>
      <w:r>
        <w:rPr>
          <w:rFonts w:ascii="Arial" w:cs="Arial" w:eastAsia="Arial" w:hAnsi="Arial"/>
          <w:color w:val="555555"/>
          <w:sz w:val="20"/>
          <w:szCs w:val="20"/>
        </w:rPr>
        <w:t xml:space="preserve">End of the example. The company, people and records in it are fictitious; the cover page explains how to use it.</w:t>
      </w:r>
    </w:p>
    <w:sectPr>
      <w:headerReference w:type="default" r:id="rId9"/>
      <w:footerReference w:type="default" r:id="rId10"/>
      <w:pgSz w:w="11906" w:h="16838" w:orient="portrait"/>
      <w:pgMar w:top="1440" w:right="1440" w:bottom="2700" w:left="1440" w:header="425"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drawing>
        <wp:anchor distT="0" distB="0" distL="0" distR="0" simplePos="0" allowOverlap="1" behindDoc="1" locked="0" layoutInCell="1" relativeHeight="1590675">
          <wp:simplePos x="0" y="0"/>
          <wp:positionH relativeFrom="column">
            <wp:posOffset>-885825</wp:posOffset>
          </wp:positionH>
          <wp:positionV relativeFrom="page">
            <wp:posOffset>9039225</wp:posOffset>
          </wp:positionV>
          <wp:extent cx="7448550" cy="1590675"/>
          <wp:effectExtent t="0" r="0" b="0" l="0"/>
          <wp:wrapSquare wrapText="bothSides" distT="0" distB="0" distL="0" distR="0"/>
          <wp:docPr id="1" name="footer" descr="Care Net Consultants letterhead footer banner" title="Care Net Consultants Fo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448550" cy="1590675"/>
                  </a:xfrm>
                  <a:prstGeom prst="rect">
                    <a:avLst/>
                  </a:prstGeom>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drawing>
        <wp:anchor distT="0" distB="0" distL="0" distR="0" simplePos="0" allowOverlap="1" behindDoc="1" locked="0" layoutInCell="1" relativeHeight="1590675">
          <wp:simplePos x="0" y="0"/>
          <wp:positionH relativeFrom="column">
            <wp:posOffset>-885825</wp:posOffset>
          </wp:positionH>
          <wp:positionV relativeFrom="page">
            <wp:posOffset>9039225</wp:posOffset>
          </wp:positionV>
          <wp:extent cx="7448550" cy="1590675"/>
          <wp:effectExtent t="0" r="0" b="0" l="0"/>
          <wp:wrapSquare wrapText="bothSides" distT="0" distB="0" distL="0" distR="0"/>
          <wp:docPr id="1" name="footer" descr="Care Net Consultants letterhead footer banner" title="Care Net Consultants Fo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448550" cy="1590675"/>
                  </a:xfrm>
                  <a:prstGeom prst="rect">
                    <a:avLst/>
                  </a:prstGeom>
                </pic:spPr>
              </pic:pic>
            </a:graphicData>
          </a:graphic>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drawing>
        <wp:anchor distT="0" distB="0" distL="0" distR="0" simplePos="0" allowOverlap="1" behindDoc="1" locked="0" layoutInCell="1" relativeHeight="1114425">
          <wp:simplePos x="0" y="0"/>
          <wp:positionH relativeFrom="column">
            <wp:posOffset>-819150</wp:posOffset>
          </wp:positionH>
          <wp:positionV relativeFrom="page">
            <wp:posOffset>114300</wp:posOffset>
          </wp:positionV>
          <wp:extent cx="7315200" cy="1114425"/>
          <wp:effectExtent t="0" r="0" b="0" l="0"/>
          <wp:wrapNone/>
          <wp:docPr id="1" name="header" descr="Care Net Consultants letterhead header banner" title="Care Net Consultants H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315200" cy="111442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pPr>
    <w:r>
      <w:rPr>
        <w:rFonts w:ascii="Arial" w:cs="Arial" w:eastAsia="Arial" w:hAnsi="Arial"/>
        <w:b/>
        <w:bCs/>
        <w:color w:val="C1272D"/>
        <w:sz w:val="16"/>
        <w:szCs w:val="16"/>
      </w:rPr>
      <w:t xml:space="preserve">EXAMPLE DOCUMENT. The company, people and records on this page are fictitious. For guidance only; not a document to sign or rely 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1E1E"/>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e984b294c1d0d99bf21755d848fe4c46e48b90e4.png"/></Relationships>
</file>

<file path=word/_rels/footer2.xml.rels><?xml version="1.0" encoding="UTF-8"?><Relationships xmlns="http://schemas.openxmlformats.org/package/2006/relationships"><Relationship Id="rId0" Type="http://schemas.openxmlformats.org/officeDocument/2006/relationships/image" Target="media/e984b294c1d0d99bf21755d848fe4c46e48b90e4.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77d240f2422258f13315ffe458878fb9a30d43aa.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Certificates of Fitness: Cover Note</dc:title>
  <dc:creator>Care Net Consultants (Pty) Ltd</dc:creator>
  <dc:description>Example document for a Health and Safety File. Fictitious; for guidance only.</dc:description>
  <cp:lastModifiedBy>Un-named</cp:lastModifiedBy>
  <cp:revision>1</cp:revision>
  <dcterms:created xsi:type="dcterms:W3CDTF">2026-09-24T08:13:42.169Z</dcterms:created>
  <dcterms:modified xsi:type="dcterms:W3CDTF">2026-09-24T08:13:42.169Z</dcterms:modified>
</cp:coreProperties>
</file>

<file path=docProps/custom.xml><?xml version="1.0" encoding="utf-8"?>
<Properties xmlns="http://schemas.openxmlformats.org/officeDocument/2006/custom-properties" xmlns:vt="http://schemas.openxmlformats.org/officeDocument/2006/docPropsVTypes"/>
</file>