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3864"/>
          <w:sz w:val="22"/>
          <w:szCs w:val="22"/>
        </w:rPr>
        <w:t xml:space="preserve">IT DIGITTAL</w:t>
      </w:r>
    </w:p>
    <w:p>
      <w:pPr>
        <w:spacing w:after="160"/>
      </w:pPr>
      <w:r>
        <w:rPr>
          <w:b/>
          <w:bCs/>
          <w:color w:val="1F3864"/>
          <w:sz w:val="40"/>
          <w:szCs w:val="40"/>
        </w:rPr>
        <w:t xml:space="preserve">Informe de estado del proyecto por hitos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Proyecto</w:t>
            </w:r>
          </w:p>
        </w:tc>
        <w:tc>
          <w:tcPr>
            <w:tcW w:type="dxa" w:w="7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Implantación de soluciones de transformación digital del sector turístico de Níjar</w:t>
            </w:r>
          </w:p>
        </w:tc>
      </w:tr>
      <w:tr>
        <w:tc>
          <w:tcPr>
            <w:tcW w:type="dxa" w:w="22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Expediente</w:t>
            </w:r>
          </w:p>
        </w:tc>
        <w:tc>
          <w:tcPr>
            <w:tcW w:type="dxa" w:w="716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18962/2025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Marco</w:t>
            </w:r>
          </w:p>
        </w:tc>
        <w:tc>
          <w:tcPr>
            <w:tcW w:type="dxa" w:w="7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PRTR · NextGenerationEU · Componente 14</w:t>
            </w:r>
          </w:p>
        </w:tc>
      </w:tr>
      <w:tr>
        <w:tc>
          <w:tcPr>
            <w:tcW w:type="dxa" w:w="22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</w:t>
            </w:r>
          </w:p>
        </w:tc>
        <w:tc>
          <w:tcPr>
            <w:tcW w:type="dxa" w:w="716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 DIGITTAL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</w:t>
            </w:r>
          </w:p>
        </w:tc>
        <w:tc>
          <w:tcPr>
            <w:tcW w:type="dxa" w:w="7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Ayuntamiento de Níjar</w:t>
            </w:r>
          </w:p>
        </w:tc>
      </w:tr>
      <w:tr>
        <w:tc>
          <w:tcPr>
            <w:tcW w:type="dxa" w:w="22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716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14/08/2026</w:t>
            </w:r>
          </w:p>
        </w:tc>
      </w:tr>
    </w:tbl>
    <w:p>
      <w:pPr>
        <w:spacing w:after="80"/>
      </w:pP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Introducción</w:t>
      </w:r>
    </w:p>
    <w:p>
      <w:pPr>
        <w:spacing w:after="120" w:line="276"/>
      </w:pPr>
      <w:r>
        <w:rPr>
          <w:sz w:val="21"/>
          <w:szCs w:val="21"/>
        </w:rPr>
        <w:t xml:space="preserve">El presente documento resume el </w:t>
      </w:r>
      <w:r>
        <w:rPr>
          <w:b/>
          <w:bCs/>
          <w:sz w:val="21"/>
          <w:szCs w:val="21"/>
        </w:rPr>
        <w:t xml:space="preserve">estado actual de cada hito</w:t>
      </w:r>
      <w:r>
        <w:rPr>
          <w:sz w:val="21"/>
          <w:szCs w:val="21"/>
        </w:rPr>
        <w:t xml:space="preserve"> del contrato, con su </w:t>
      </w:r>
      <w:r>
        <w:rPr>
          <w:b/>
          <w:bCs/>
          <w:sz w:val="21"/>
          <w:szCs w:val="21"/>
        </w:rPr>
        <w:t xml:space="preserve">porcentaje de avance real</w:t>
      </w:r>
      <w:r>
        <w:rPr>
          <w:sz w:val="21"/>
          <w:szCs w:val="21"/>
        </w:rPr>
        <w:t xml:space="preserve">, lo que </w:t>
      </w:r>
      <w:r>
        <w:rPr>
          <w:b/>
          <w:bCs/>
          <w:sz w:val="21"/>
          <w:szCs w:val="21"/>
        </w:rPr>
        <w:t xml:space="preserve">falta para completarlo</w:t>
      </w:r>
      <w:r>
        <w:rPr>
          <w:sz w:val="21"/>
          <w:szCs w:val="21"/>
        </w:rPr>
        <w:t xml:space="preserve"> y la </w:t>
      </w:r>
      <w:r>
        <w:rPr>
          <w:b/>
          <w:bCs/>
          <w:sz w:val="21"/>
          <w:szCs w:val="21"/>
        </w:rPr>
        <w:t xml:space="preserve">colaboración necesaria por parte del Ayuntamiento</w:t>
      </w:r>
      <w:r>
        <w:rPr>
          <w:sz w:val="21"/>
          <w:szCs w:val="21"/>
        </w:rPr>
        <w:t xml:space="preserve">. A fecha de hoy, los </w:t>
      </w:r>
      <w:r>
        <w:rPr>
          <w:b/>
          <w:bCs/>
          <w:color w:val="2E7D32"/>
          <w:sz w:val="21"/>
          <w:szCs w:val="21"/>
        </w:rPr>
        <w:t xml:space="preserve">dos tótems interactivos ya están instalados</w:t>
      </w:r>
      <w:r>
        <w:rPr>
          <w:sz w:val="21"/>
          <w:szCs w:val="21"/>
        </w:rPr>
        <w:t xml:space="preserve"> y en funcionamiento, y la plataforma está </w:t>
      </w:r>
      <w:r>
        <w:rPr>
          <w:b/>
          <w:bCs/>
          <w:color w:val="2E7D32"/>
          <w:sz w:val="21"/>
          <w:szCs w:val="21"/>
        </w:rPr>
        <w:t xml:space="preserve">integrada y operativa en producción</w:t>
      </w:r>
      <w:r>
        <w:rPr>
          <w:sz w:val="21"/>
          <w:szCs w:val="21"/>
        </w:rPr>
        <w:t xml:space="preserve">, con sus </w:t>
      </w:r>
      <w:r>
        <w:rPr>
          <w:b/>
          <w:bCs/>
          <w:sz w:val="21"/>
          <w:szCs w:val="21"/>
        </w:rPr>
        <w:t xml:space="preserve">conectores a las fuentes externas</w:t>
      </w:r>
      <w:r>
        <w:rPr>
          <w:sz w:val="21"/>
          <w:szCs w:val="21"/>
        </w:rPr>
        <w:t xml:space="preserve"> (redes sociales, analítica web y plataforma DTI) </w:t>
      </w:r>
      <w:r>
        <w:rPr>
          <w:b/>
          <w:bCs/>
          <w:color w:val="2E7D32"/>
          <w:sz w:val="21"/>
          <w:szCs w:val="21"/>
        </w:rPr>
        <w:t xml:space="preserve">construidos y verificados</w:t>
      </w:r>
      <w:r>
        <w:rPr>
          <w:sz w:val="21"/>
          <w:szCs w:val="21"/>
        </w:rPr>
        <w:t xml:space="preserve">. El Ayuntamiento ya ha facilitado el </w:t>
      </w:r>
      <w:r>
        <w:rPr>
          <w:b/>
          <w:bCs/>
          <w:color w:val="2E7D32"/>
          <w:sz w:val="21"/>
          <w:szCs w:val="21"/>
        </w:rPr>
        <w:t xml:space="preserve">acceso a Facebook e Instagram</w:t>
      </w:r>
      <w:r>
        <w:rPr>
          <w:sz w:val="21"/>
          <w:szCs w:val="21"/>
        </w:rPr>
        <w:t xml:space="preserve">, por lo que la </w:t>
      </w:r>
      <w:r>
        <w:rPr>
          <w:b/>
          <w:bCs/>
          <w:sz w:val="21"/>
          <w:szCs w:val="21"/>
        </w:rPr>
        <w:t xml:space="preserve">activación con datos reales</w:t>
      </w:r>
      <w:r>
        <w:rPr>
          <w:sz w:val="21"/>
          <w:szCs w:val="21"/>
        </w:rPr>
        <w:t xml:space="preserve"> del Social Listening y de Google Analytics se encuentra en su </w:t>
      </w:r>
      <w:r>
        <w:rPr>
          <w:b/>
          <w:bCs/>
          <w:sz w:val="21"/>
          <w:szCs w:val="21"/>
        </w:rPr>
        <w:t xml:space="preserve">fase final de configuración</w:t>
      </w:r>
      <w:r>
        <w:rPr>
          <w:sz w:val="21"/>
          <w:szCs w:val="21"/>
        </w:rPr>
        <w:t xml:space="preserve">. Todas las piezas del proyecto (plataforma, chatbot, observatorio de datos, panel de control, tótems y herramientas de mantenimiento) están </w:t>
      </w:r>
      <w:r>
        <w:rPr>
          <w:b/>
          <w:bCs/>
          <w:sz w:val="21"/>
          <w:szCs w:val="21"/>
        </w:rPr>
        <w:t xml:space="preserve">construidas, desplegadas en producción y operativas</w:t>
      </w:r>
      <w:r>
        <w:rPr>
          <w:sz w:val="21"/>
          <w:szCs w:val="21"/>
        </w:rPr>
        <w:t xml:space="preserve">. Los puntos pendientes se concentran en la </w:t>
      </w:r>
      <w:r>
        <w:rPr>
          <w:b/>
          <w:bCs/>
          <w:sz w:val="21"/>
          <w:szCs w:val="21"/>
        </w:rPr>
        <w:t xml:space="preserve">activación con datos reales de las fuentes externas</w:t>
      </w:r>
      <w:r>
        <w:rPr>
          <w:sz w:val="21"/>
          <w:szCs w:val="21"/>
        </w:rPr>
        <w:t xml:space="preserve"> y en los </w:t>
      </w:r>
      <w:r>
        <w:rPr>
          <w:b/>
          <w:bCs/>
          <w:sz w:val="21"/>
          <w:szCs w:val="21"/>
        </w:rPr>
        <w:t xml:space="preserve">actos formales de validación</w:t>
      </w:r>
      <w:r>
        <w:rPr>
          <w:sz w:val="21"/>
          <w:szCs w:val="21"/>
        </w:rPr>
        <w:t xml:space="preserve"> (auditoría de seguridad, formación y prueba de aceptación) hasta la </w:t>
      </w:r>
      <w:r>
        <w:rPr>
          <w:b/>
          <w:bCs/>
          <w:sz w:val="21"/>
          <w:szCs w:val="21"/>
        </w:rPr>
        <w:t xml:space="preserve">firma del acta de recepción</w:t>
      </w:r>
      <w:r>
        <w:rPr>
          <w:sz w:val="21"/>
          <w:szCs w:val="21"/>
        </w:rPr>
        <w:t xml:space="preserve">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Resumen de avance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900"/>
        <w:gridCol w:w="3960"/>
        <w:gridCol w:w="1100"/>
        <w:gridCol w:w="34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39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1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Avance</w:t>
            </w:r>
          </w:p>
        </w:tc>
        <w:tc>
          <w:tcPr>
            <w:tcW w:type="dxa" w:w="34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H1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Planificación y diseños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100 %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Completado</w:t>
            </w:r>
          </w:p>
        </w:tc>
      </w:tr>
      <w:tr>
        <w:tc>
          <w:tcPr>
            <w:tcW w:type="dxa" w:w="9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H2</w:t>
            </w:r>
          </w:p>
        </w:tc>
        <w:tc>
          <w:tcPr>
            <w:tcW w:type="dxa" w:w="396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Implementación intermedia</w:t>
            </w:r>
          </w:p>
        </w:tc>
        <w:tc>
          <w:tcPr>
            <w:tcW w:type="dxa" w:w="11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100 %</w:t>
            </w:r>
          </w:p>
        </w:tc>
        <w:tc>
          <w:tcPr>
            <w:tcW w:type="dxa" w:w="34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Completado (tótems instalados y en marcha)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H3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Integración y pruebas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90 %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Integración finalizada; pendientes actos de validación</w:t>
            </w:r>
          </w:p>
        </w:tc>
      </w:tr>
      <w:tr>
        <w:tc>
          <w:tcPr>
            <w:tcW w:type="dxa" w:w="9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H4</w:t>
            </w:r>
          </w:p>
        </w:tc>
        <w:tc>
          <w:tcPr>
            <w:tcW w:type="dxa" w:w="396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Puesta en producción y aceptación (SAT)</w:t>
            </w:r>
          </w:p>
        </w:tc>
        <w:tc>
          <w:tcPr>
            <w:tcW w:type="dxa" w:w="11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85 %</w:t>
            </w:r>
          </w:p>
        </w:tc>
        <w:tc>
          <w:tcPr>
            <w:tcW w:type="dxa" w:w="34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 producción y operativo; pendiente la aceptación (SAT)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C.1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Mantenimiento y hosting (48 meses)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Listo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Comienza tras la recepción</w:t>
            </w:r>
          </w:p>
        </w:tc>
      </w:tr>
      <w:tr>
        <w:tc>
          <w:tcPr>
            <w:tcW w:type="dxa" w:w="9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Avance global (actuaciones subvencionadas)</w:t>
            </w:r>
          </w:p>
        </w:tc>
        <w:tc>
          <w:tcPr>
            <w:tcW w:type="dxa" w:w="11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93 %</w:t>
            </w:r>
          </w:p>
        </w:tc>
        <w:tc>
          <w:tcPr>
            <w:tcW w:type="dxa" w:w="34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2E5496" w:sz="6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20"/>
      </w:pPr>
      <w:r>
        <w:rPr>
          <w:b/>
          <w:bCs/>
          <w:color w:val="2E5496"/>
          <w:sz w:val="26"/>
          <w:szCs w:val="26"/>
        </w:rPr>
        <w:t xml:space="preserve">H1 — Planificación y diseños · 100 %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Hecho: </w:t>
      </w:r>
      <w:r>
        <w:rPr>
          <w:sz w:val="21"/>
          <w:szCs w:val="21"/>
        </w:rPr>
        <w:t xml:space="preserve">plan de proyecto, análisis y diagnóstico inicial, diseño de la arquitectura e integraciones, diseño visual de los tótems (aprobado) y entrega del Plan de Transformación Digital. Actas de arranque (kick-off) y de aprobación de diseños (Go/No-Go) formalizadas.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Falta para cerrarlo: </w:t>
      </w:r>
      <w:r>
        <w:rPr>
          <w:sz w:val="21"/>
          <w:szCs w:val="21"/>
        </w:rPr>
        <w:t xml:space="preserve">nada. Hito completado.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6"/>
          <w:szCs w:val="26"/>
        </w:rPr>
        <w:t xml:space="preserve">H2 — Implementación intermedia · 100 %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Hecho: </w:t>
      </w:r>
      <w:r>
        <w:rPr>
          <w:sz w:val="21"/>
          <w:szCs w:val="21"/>
        </w:rPr>
        <w:t xml:space="preserve">desarrollo de la plataforma DTI y del panel de control, </w:t>
      </w:r>
      <w:r>
        <w:rPr>
          <w:b/>
          <w:bCs/>
          <w:sz w:val="21"/>
          <w:szCs w:val="21"/>
        </w:rPr>
        <w:t xml:space="preserve">chatbot multilingüe</w:t>
      </w:r>
      <w:r>
        <w:rPr>
          <w:sz w:val="21"/>
          <w:szCs w:val="21"/>
        </w:rPr>
        <w:t xml:space="preserve"> (105 preguntas frecuentes en 4 idiomas) con demostración funcional, observatorio de Big Data y entrega del Plan de Transformación Digital definitivo. </w:t>
      </w:r>
      <w:r>
        <w:rPr>
          <w:b/>
          <w:bCs/>
          <w:color w:val="2E7D32"/>
          <w:sz w:val="21"/>
          <w:szCs w:val="21"/>
        </w:rPr>
        <w:t xml:space="preserve">Los 2 tótems interactivos están físicamente instalados</w:t>
      </w:r>
      <w:r>
        <w:rPr>
          <w:sz w:val="21"/>
          <w:szCs w:val="21"/>
        </w:rPr>
        <w:t xml:space="preserve"> (obra civil, acometidas eléctricas y de datos y puesta en marcha completadas) y sincronizados con el CMS central.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Falta para cerrarlo: </w:t>
      </w:r>
      <w:r>
        <w:rPr>
          <w:sz w:val="21"/>
          <w:szCs w:val="21"/>
        </w:rPr>
        <w:t xml:space="preserve">nada. Hito completado; pendiente únicamente su reflejo en el acta de recepción global (H4).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6"/>
          <w:szCs w:val="26"/>
        </w:rPr>
        <w:t xml:space="preserve">H3 — Integración y pruebas · 90 %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Hecho: </w:t>
      </w:r>
      <w:r>
        <w:rPr>
          <w:sz w:val="21"/>
          <w:szCs w:val="21"/>
        </w:rPr>
        <w:t xml:space="preserve">pruebas funcionales y de accesibilidad (WCAG 2.1 AA), ajuste de los modelos de datos y de los cuadros de mando de Big Data, e </w:t>
      </w:r>
      <w:r>
        <w:rPr>
          <w:b/>
          <w:bCs/>
          <w:color w:val="2E7D32"/>
          <w:sz w:val="21"/>
          <w:szCs w:val="21"/>
        </w:rPr>
        <w:t xml:space="preserve">integración con los sistemas municipales y la plataforma DTI existente</w:t>
      </w:r>
      <w:r>
        <w:rPr>
          <w:sz w:val="21"/>
          <w:szCs w:val="21"/>
        </w:rPr>
        <w:t xml:space="preserve">. Los </w:t>
      </w:r>
      <w:r>
        <w:rPr>
          <w:b/>
          <w:bCs/>
          <w:color w:val="2E7D32"/>
          <w:sz w:val="21"/>
          <w:szCs w:val="21"/>
        </w:rPr>
        <w:t xml:space="preserve">conectores de Social Listening (Facebook, Instagram, X) y de Google Analytics 4 están construidos y verificados</w:t>
      </w:r>
      <w:r>
        <w:rPr>
          <w:sz w:val="21"/>
          <w:szCs w:val="21"/>
        </w:rPr>
        <w:t xml:space="preserve">, con sus procedimientos de activación, verificación y renovación de credenciales ya preparados. El Ayuntamiento ha facilitado el </w:t>
      </w:r>
      <w:r>
        <w:rPr>
          <w:b/>
          <w:bCs/>
          <w:color w:val="2E7D32"/>
          <w:sz w:val="21"/>
          <w:szCs w:val="21"/>
        </w:rPr>
        <w:t xml:space="preserve">acceso a Facebook e Instagram</w:t>
      </w:r>
      <w:r>
        <w:rPr>
          <w:sz w:val="21"/>
          <w:szCs w:val="21"/>
        </w:rPr>
        <w:t xml:space="preserve">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Falta para cerrarlo: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Activación con datos reales de las fuentes externas</w:t>
      </w:r>
      <w:r>
        <w:rPr>
          <w:sz w:val="21"/>
          <w:szCs w:val="21"/>
        </w:rPr>
        <w:t xml:space="preserve">: introducir las credenciales y ejecutar la verificación — redes sociales (acceso a Facebook/Instagram ya facilitado; pendiente el token de la app de Meta) y Google Analytics 4 (cuenta de servicio + Property ID del destino).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Auditoría de seguridad (pentest)</w:t>
      </w:r>
      <w:r>
        <w:rPr>
          <w:sz w:val="21"/>
          <w:szCs w:val="21"/>
        </w:rPr>
        <w:t xml:space="preserve">: ejecución y entrega del informe.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Formación al personal (≥ 10 h)</w:t>
      </w:r>
      <w:r>
        <w:rPr>
          <w:sz w:val="21"/>
          <w:szCs w:val="21"/>
        </w:rPr>
        <w:t xml:space="preserve"> y su acta.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Simulacro de copia de seguridad y restauración (acta de resultado).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6"/>
          <w:szCs w:val="26"/>
        </w:rPr>
        <w:t xml:space="preserve">H4 — Puesta en producción y aceptación (SAT) · 85 %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Hecho: </w:t>
      </w:r>
      <w:r>
        <w:rPr>
          <w:b/>
          <w:bCs/>
          <w:sz w:val="21"/>
          <w:szCs w:val="21"/>
        </w:rPr>
        <w:t xml:space="preserve">plataforma desplegada, integrada y operativa en el entorno de producción</w:t>
      </w:r>
      <w:r>
        <w:rPr>
          <w:sz w:val="21"/>
          <w:szCs w:val="21"/>
        </w:rPr>
        <w:t xml:space="preserve"> (infraestructura cloud en la Unión Europea), </w:t>
      </w:r>
      <w:r>
        <w:rPr>
          <w:b/>
          <w:bCs/>
          <w:color w:val="2E7D32"/>
          <w:sz w:val="21"/>
          <w:szCs w:val="21"/>
        </w:rPr>
        <w:t xml:space="preserve">tótems en servicio</w:t>
      </w:r>
      <w:r>
        <w:rPr>
          <w:sz w:val="21"/>
          <w:szCs w:val="21"/>
        </w:rPr>
        <w:t xml:space="preserve">, telemetría en funcionamiento, guion de la prueba de aceptación y documentación técnica.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Falta para cerrarlo: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Prueba de aceptación (SAT)</w:t>
      </w:r>
      <w:r>
        <w:rPr>
          <w:sz w:val="21"/>
          <w:szCs w:val="21"/>
        </w:rPr>
        <w:t xml:space="preserve"> presencial y firma del </w:t>
      </w:r>
      <w:r>
        <w:rPr>
          <w:b/>
          <w:bCs/>
          <w:sz w:val="21"/>
          <w:szCs w:val="21"/>
        </w:rPr>
        <w:t xml:space="preserve">acta de recepción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Consolidación de la documentación final «as-built» e inicio formal del soporte.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6"/>
          <w:szCs w:val="26"/>
        </w:rPr>
        <w:t xml:space="preserve">C.1 — Mantenimiento y hosting (48 meses) · Listo para iniciar</w:t>
      </w:r>
    </w:p>
    <w:p>
      <w:pPr>
        <w:spacing w:after="120" w:line="276"/>
      </w:pPr>
      <w:r>
        <w:rPr>
          <w:sz w:val="21"/>
          <w:szCs w:val="21"/>
        </w:rPr>
        <w:t xml:space="preserve">El </w:t>
      </w:r>
      <w:r>
        <w:rPr>
          <w:b/>
          <w:bCs/>
          <w:sz w:val="21"/>
          <w:szCs w:val="21"/>
        </w:rPr>
        <w:t xml:space="preserve">hosting de producción ya está operativo</w:t>
      </w:r>
      <w:r>
        <w:rPr>
          <w:sz w:val="21"/>
          <w:szCs w:val="21"/>
        </w:rPr>
        <w:t xml:space="preserve"> (infraestructura cloud en la UE) y los tótems están conectados y monitorizados. Las herramientas de mantenimiento están disponibles y en uso: </w:t>
      </w:r>
      <w:r>
        <w:rPr>
          <w:b/>
          <w:bCs/>
          <w:sz w:val="21"/>
          <w:szCs w:val="21"/>
        </w:rPr>
        <w:t xml:space="preserve">informe mensual de servicio</w:t>
      </w:r>
      <w:r>
        <w:rPr>
          <w:sz w:val="21"/>
          <w:szCs w:val="21"/>
        </w:rPr>
        <w:t xml:space="preserve">, control de </w:t>
      </w:r>
      <w:r>
        <w:rPr>
          <w:b/>
          <w:bCs/>
          <w:sz w:val="21"/>
          <w:szCs w:val="21"/>
        </w:rPr>
        <w:t xml:space="preserve">niveles de servicio (ANS)</w:t>
      </w:r>
      <w:r>
        <w:rPr>
          <w:sz w:val="21"/>
          <w:szCs w:val="21"/>
        </w:rPr>
        <w:t xml:space="preserve">, gestión de incidencias, copias de seguridad y monitorización. Este periodo comienza formalmente tras la recepción (H4).</w:t>
      </w:r>
    </w:p>
    <w:p>
      <w:pPr>
        <w:pBdr>
          <w:bottom w:val="single" w:color="2E5496" w:sz="6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Qué necesitamos del Ayuntamiento para finalizar</w:t>
      </w:r>
    </w:p>
    <w:p>
      <w:pPr>
        <w:spacing w:after="120" w:line="276"/>
      </w:pPr>
      <w:r>
        <w:rPr>
          <w:sz w:val="21"/>
          <w:szCs w:val="21"/>
        </w:rPr>
        <w:t xml:space="preserve">Con los tótems instalados y las integraciones construidas, la colaboración pendiente se limita a activar las fuentes externas y a cerrar los actos formales de validación: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600"/>
        <w:gridCol w:w="7360"/>
        <w:gridCol w:w="14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3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Necesidad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Afecta a</w:t>
            </w:r>
          </w:p>
        </w:tc>
      </w:tr>
      <w:tr>
        <w:tc>
          <w:tcPr>
            <w:tcW w:type="dxa" w:w="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Credenciales de las fuentes externas para la activación: token de la app de Meta (el acceso a Facebook/Instagram ya está facilitado) y cuenta de servicio + Property ID de Google Analytics 4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H3</w:t>
            </w:r>
          </w:p>
        </w:tc>
      </w:tr>
      <w:tr>
        <w:tc>
          <w:tcPr>
            <w:tcW w:type="dxa" w:w="6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36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Autorización y ventana para la auditoría de seguridad (pentest) sobre los servicios en producción</w:t>
            </w:r>
          </w:p>
        </w:tc>
        <w:tc>
          <w:tcPr>
            <w:tcW w:type="dxa" w:w="14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H3</w:t>
            </w:r>
          </w:p>
        </w:tc>
      </w:tr>
      <w:tr>
        <w:tc>
          <w:tcPr>
            <w:tcW w:type="dxa" w:w="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Designación de asistentes y fecha para la formación al personal (≥ 10 h)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H3</w:t>
            </w:r>
          </w:p>
        </w:tc>
      </w:tr>
      <w:tr>
        <w:tc>
          <w:tcPr>
            <w:tcW w:type="dxa" w:w="6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36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 para la prueba de aceptación (SAT) presencial y firma del acta de recepción</w:t>
            </w:r>
          </w:p>
        </w:tc>
        <w:tc>
          <w:tcPr>
            <w:tcW w:type="dxa" w:w="14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H4</w:t>
            </w:r>
          </w:p>
        </w:tc>
      </w:tr>
      <w:tr>
        <w:tc>
          <w:tcPr>
            <w:tcW w:type="dxa" w:w="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Confirmación de dominio(s) definitivo(s) del Ayuntamiento y, si procede, integración con el acceso interno municipal (SSO)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H4</w:t>
            </w:r>
          </w:p>
        </w:tc>
      </w:tr>
      <w:tr>
        <w:tc>
          <w:tcPr>
            <w:tcW w:type="dxa" w:w="6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36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Contacto del Delegado de Protección de Datos y validación de los textos legales/privacidad publicados</w:t>
            </w:r>
          </w:p>
        </w:tc>
        <w:tc>
          <w:tcPr>
            <w:tcW w:type="dxa" w:w="14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H3–H4</w:t>
            </w:r>
          </w:p>
        </w:tc>
      </w:tr>
    </w:tbl>
    <w:p>
      <w:pPr>
        <w:spacing w:after="60" w:before="100"/>
      </w:pPr>
    </w:p>
    <w:p>
      <w:pPr>
        <w:spacing w:after="120" w:line="276"/>
      </w:pPr>
      <w:r>
        <w:rPr>
          <w:b/>
          <w:bCs/>
          <w:color w:val="2E5496"/>
          <w:sz w:val="21"/>
          <w:szCs w:val="21"/>
        </w:rPr>
        <w:t xml:space="preserve">Nota: </w:t>
      </w:r>
      <w:r>
        <w:rPr>
          <w:i/>
          <w:iCs/>
          <w:sz w:val="21"/>
          <w:szCs w:val="21"/>
        </w:rPr>
        <w:t xml:space="preserve">el alojamiento, el despliegue en producción, la instalación de los tótems y los conectores de integración ya están resueltos por IT DIGITTAL; la activación de las fuentes externas es un último paso de configuración (introducir credenciales y verificar), con procedimientos y herramientas ya preparados por nuestra parte.</w:t>
      </w:r>
    </w:p>
    <w:p>
      <w:pPr>
        <w:spacing w:after="120" w:line="276"/>
      </w:pPr>
      <w:r>
        <w:rPr>
          <w:i/>
          <w:iCs/>
          <w:color w:val="595959"/>
          <w:sz w:val="21"/>
          <w:szCs w:val="21"/>
        </w:rPr>
        <w:t xml:space="preserve">Por seguridad, cualquier credencial o token no debe enviarse por correo en texto plano; facilitamos un canal seguro.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Próximos pasos propuestos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Facilitar las credenciales</w:t>
      </w:r>
      <w:r>
        <w:rPr>
          <w:sz w:val="21"/>
          <w:szCs w:val="21"/>
        </w:rPr>
        <w:t xml:space="preserve"> de Meta (token) y de Google Analytics 4 (cuenta de servicio + Property ID) para </w:t>
      </w:r>
      <w:r>
        <w:rPr>
          <w:b/>
          <w:bCs/>
          <w:sz w:val="21"/>
          <w:szCs w:val="21"/>
        </w:rPr>
        <w:t xml:space="preserve">activar los datos reales</w:t>
      </w:r>
      <w:r>
        <w:rPr>
          <w:sz w:val="21"/>
          <w:szCs w:val="21"/>
        </w:rPr>
        <w:t xml:space="preserve"> de redes sociales y analítica (cierre de la integración del H3).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Acordar </w:t>
      </w:r>
      <w:r>
        <w:rPr>
          <w:b/>
          <w:bCs/>
          <w:sz w:val="21"/>
          <w:szCs w:val="21"/>
        </w:rPr>
        <w:t xml:space="preserve">ventana para el pentest</w:t>
      </w:r>
      <w:r>
        <w:rPr>
          <w:sz w:val="21"/>
          <w:szCs w:val="21"/>
        </w:rPr>
        <w:t xml:space="preserve"> y ejecutar la auditoría (cierre técnico del H3).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Fijar </w:t>
      </w:r>
      <w:r>
        <w:rPr>
          <w:b/>
          <w:bCs/>
          <w:sz w:val="21"/>
          <w:szCs w:val="21"/>
        </w:rPr>
        <w:t xml:space="preserve">fecha de formación</w:t>
      </w:r>
      <w:r>
        <w:rPr>
          <w:sz w:val="21"/>
          <w:szCs w:val="21"/>
        </w:rPr>
        <w:t xml:space="preserve"> (≥ 10 h) y levantar su acta.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Acordar </w:t>
      </w:r>
      <w:r>
        <w:rPr>
          <w:b/>
          <w:bCs/>
          <w:sz w:val="21"/>
          <w:szCs w:val="21"/>
        </w:rPr>
        <w:t xml:space="preserve">fecha del SAT</w:t>
      </w:r>
      <w:r>
        <w:rPr>
          <w:sz w:val="21"/>
          <w:szCs w:val="21"/>
        </w:rPr>
        <w:t xml:space="preserve">, realizar la prueba de aceptación y </w:t>
      </w:r>
      <w:r>
        <w:rPr>
          <w:b/>
          <w:bCs/>
          <w:sz w:val="21"/>
          <w:szCs w:val="21"/>
        </w:rPr>
        <w:t xml:space="preserve">firmar el acta de recepción</w:t>
      </w:r>
      <w:r>
        <w:rPr>
          <w:sz w:val="21"/>
          <w:szCs w:val="21"/>
        </w:rPr>
        <w:t xml:space="preserve"> (cierre del H4).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Confirmar el/los </w:t>
      </w:r>
      <w:r>
        <w:rPr>
          <w:b/>
          <w:bCs/>
          <w:sz w:val="21"/>
          <w:szCs w:val="21"/>
        </w:rPr>
        <w:t xml:space="preserve">dominio(s)</w:t>
      </w:r>
      <w:r>
        <w:rPr>
          <w:sz w:val="21"/>
          <w:szCs w:val="21"/>
        </w:rPr>
        <w:t xml:space="preserve"> definitivos del Ayuntamiento para consolidar la publicación de los servicios.</w:t>
      </w:r>
    </w:p>
    <w:p>
      <w:pPr>
        <w:spacing w:after="120" w:line="276"/>
      </w:pPr>
      <w:r>
        <w:rPr>
          <w:sz w:val="21"/>
          <w:szCs w:val="21"/>
        </w:rPr>
        <w:t xml:space="preserve">Con la recepción firmada, arranca formalmente el periodo de </w:t>
      </w:r>
      <w:r>
        <w:rPr>
          <w:b/>
          <w:bCs/>
          <w:sz w:val="21"/>
          <w:szCs w:val="21"/>
        </w:rPr>
        <w:t xml:space="preserve">mantenimiento y hosting (C.1, 48 meses)</w:t>
      </w:r>
      <w:r>
        <w:rPr>
          <w:sz w:val="21"/>
          <w:szCs w:val="21"/>
        </w:rPr>
        <w:t xml:space="preserve">, ya operativo en la práctica.</w:t>
      </w:r>
    </w:p>
    <w:p>
      <w:pPr>
        <w:spacing w:after="120" w:line="276"/>
      </w:pPr>
      <w:r>
        <w:rPr>
          <w:sz w:val="21"/>
          <w:szCs w:val="21"/>
        </w:rPr>
        <w:t xml:space="preserve">Quedamos a su disposición para una breve reunión de coordinación y agradecemos de antemano su colaboración.</w:t>
      </w:r>
    </w:p>
    <w:p>
      <w:pPr>
        <w:spacing w:after="0" w:before="160"/>
      </w:pPr>
      <w:r>
        <w:rPr>
          <w:b/>
          <w:bCs/>
          <w:color w:val="1F3864"/>
          <w:sz w:val="21"/>
          <w:szCs w:val="21"/>
        </w:rPr>
        <w:t xml:space="preserve">IT DIGITTAL — Dirección de Proyecto</w:t>
      </w:r>
    </w:p>
    <w:p>
      <w:pPr>
        <w:spacing w:after="0"/>
      </w:pPr>
      <w:r>
        <w:rPr>
          <w:color w:val="595959"/>
          <w:sz w:val="20"/>
          <w:szCs w:val="20"/>
        </w:rPr>
        <w:t xml:space="preserve">Exp. 18962/2025 · [nombre] · [email] · [teléfono]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b/>
        <w:bCs/>
        <w:color w:val="2E549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estado del proyecto por hitos — Ayuntamiento de Níjar</dc:title>
  <dc:creator>IT DIGITTAL</dc:creator>
  <dc:description>Estado por hitos, Exp. 18962/2025</dc:description>
  <cp:lastModifiedBy>Un-named</cp:lastModifiedBy>
  <cp:revision>1</cp:revision>
  <dcterms:created xsi:type="dcterms:W3CDTF">2026-08-14T09:59:58.944Z</dcterms:created>
  <dcterms:modified xsi:type="dcterms:W3CDTF">2026-08-14T09:59:58.960Z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