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0144f33d9a87c7134edfac5071531f02683a1f9"/>
    <w:p>
      <w:pPr>
        <w:pStyle w:val="Heading1"/>
      </w:pPr>
      <w:r>
        <w:t xml:space="preserve">Checklist de smoke test — DTI Níjar (1 página)</w:t>
      </w:r>
    </w:p>
    <w:p>
      <w:pPr>
        <w:pStyle w:val="FirstParagraph"/>
      </w:pPr>
      <w:r>
        <w:rPr>
          <w:b/>
          <w:bCs/>
        </w:rPr>
        <w:t xml:space="preserve">Tester:</w:t>
      </w:r>
      <w:r>
        <w:t xml:space="preserve"> </w:t>
      </w:r>
      <w:r>
        <w:t xml:space="preserve">____________________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__________</w:t>
      </w:r>
      <w:r>
        <w:t xml:space="preserve"> </w:t>
      </w:r>
      <w:r>
        <w:rPr>
          <w:b/>
          <w:bCs/>
        </w:rPr>
        <w:t xml:space="preserve">Navegador:</w:t>
      </w:r>
      <w:r>
        <w:t xml:space="preserve"> </w:t>
      </w:r>
      <w:r>
        <w:t xml:space="preserve">____________</w:t>
      </w:r>
      <w:r>
        <w:t xml:space="preserve"> </w:t>
      </w:r>
      <w:r>
        <w:rPr>
          <w:b/>
          <w:bCs/>
        </w:rPr>
        <w:t xml:space="preserve">Commit/rama:</w:t>
      </w:r>
      <w:r>
        <w:t xml:space="preserve"> </w:t>
      </w:r>
      <w:r>
        <w:t xml:space="preserve">____________</w:t>
      </w:r>
    </w:p>
    <w:p>
      <w:pPr>
        <w:pStyle w:val="BlockText"/>
      </w:pPr>
      <w:r>
        <w:t xml:space="preserve">Marca ✓ / ✗. Datos demo cargados en el primer arranque. Para la voz del tótem usa</w:t>
      </w:r>
      <w:r>
        <w:t xml:space="preserve"> </w:t>
      </w:r>
      <w:r>
        <w:rPr>
          <w:b/>
          <w:bCs/>
        </w:rPr>
        <w:t xml:space="preserve">Chrome/Edge</w:t>
      </w:r>
      <w:r>
        <w:t xml:space="preserve">.</w:t>
      </w:r>
    </w:p>
    <w:bookmarkStart w:id="9" w:name="arranque"/>
    <w:p>
      <w:pPr>
        <w:pStyle w:val="Heading2"/>
      </w:pPr>
      <w:r>
        <w:t xml:space="preserve">Arranque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pytest tests/ -m "not integration"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264 passed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 /api/v1/health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ok</w:t>
      </w:r>
    </w:p>
    <w:p>
      <w:pPr>
        <w:pStyle w:val="Compact"/>
        <w:numPr>
          <w:ilvl w:val="0"/>
          <w:numId w:val="1003"/>
        </w:numPr>
      </w:pPr>
      <w:r>
        <w:t xml:space="preserve">Swagger abre (</w:t>
      </w:r>
      <w:r>
        <w:rPr>
          <w:rStyle w:val="VerbatimChar"/>
        </w:rPr>
        <w:t xml:space="preserve">/docs</w:t>
      </w:r>
      <w:r>
        <w:t xml:space="preserve">) · Panel abre (</w:t>
      </w:r>
      <w:r>
        <w:rPr>
          <w:rStyle w:val="VerbatimChar"/>
        </w:rPr>
        <w:t xml:space="preserve">/dashboard</w:t>
      </w:r>
      <w:r>
        <w:t xml:space="preserve">) · Tótem abre (</w:t>
      </w:r>
      <w:r>
        <w:rPr>
          <w:rStyle w:val="VerbatimChar"/>
        </w:rPr>
        <w:t xml:space="preserve">/totem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>Login panel: admin@nijar.es / CambiarEnPrimerArranque#2026  · API JSON: POST /auth/login {"email":"…","password":"…"}  · API OAuth2 form: POST /auth/token (username=email, password)</w:t>
      </w:r>
      <w:r/>
      <w:r>
        <w:rPr>
          <w:rStyle w:val="VerbatimChar"/>
        </w:rPr>
      </w:r>
      <w:r/>
      <w:r/>
      <w:r/>
      <w:r>
        <w:rPr>
          <w:rStyle w:val="VerbatimChar"/>
        </w:rPr>
      </w:r>
    </w:p>
    <w:bookmarkEnd w:id="9"/>
    <w:bookmarkStart w:id="10" w:name="backend-swagger-o-curl"/>
    <w:p>
      <w:pPr>
        <w:pStyle w:val="Heading2"/>
      </w:pPr>
      <w:r>
        <w:t xml:space="preserve">Backend (Swagger o curl)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GET /tourism/resources?publicado=true</w:t>
      </w:r>
      <w:r>
        <w:t xml:space="preserve"> </w:t>
      </w:r>
      <w:r>
        <w:t xml:space="preserve">→ ≥14 recursos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 /tourism/events</w:t>
      </w:r>
      <w:r>
        <w:t xml:space="preserve"> </w:t>
      </w:r>
      <w:r>
        <w:t xml:space="preserve">→ eventos demo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GET /data/iot/sensors</w:t>
      </w:r>
      <w:r>
        <w:t xml:space="preserve"> </w:t>
      </w:r>
      <w:r>
        <w:t xml:space="preserve">→ 9 sensores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GET /data/social/kpis/sentiment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/share-of-voice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/topics</w:t>
      </w:r>
      <w:r>
        <w:t xml:space="preserve"> </w:t>
      </w:r>
      <w:r>
        <w:t xml:space="preserve">→ datos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 /data/social/kpis/nps</w:t>
      </w:r>
      <w:r>
        <w:t xml:space="preserve"> </w:t>
      </w:r>
      <w:r>
        <w:t xml:space="preserve">→ NPS con componentes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GET /data/social/kpis/composicion-linguistica</w:t>
      </w:r>
      <w:r>
        <w:t xml:space="preserve"> </w:t>
      </w:r>
      <w:r>
        <w:t xml:space="preserve">→ % por idioma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 /prediccion/afluencia?metrica=totem</w:t>
      </w:r>
      <w:r>
        <w:t xml:space="preserve"> </w:t>
      </w:r>
      <w:r>
        <w:t xml:space="preserve">→ 14 puntos + banda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>GET /prediccion/validacion?metrica=chatbot → MAPE (puede ser null si la serie tiene muchos valles a cero — ver `nota`/`n_evaluable` en la respuesta)</w:t>
      </w:r>
      <w:r/>
      <w:r/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GET /data/contexto/factor-expansion</w:t>
      </w:r>
      <w:r>
        <w:t xml:space="preserve"> </w:t>
      </w:r>
      <w:r>
        <w:t xml:space="preserve">→ factor (≈6.7 o calibrado)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POST /rutas/planificar</w:t>
      </w:r>
      <w:r>
        <w:t xml:space="preserve"> </w:t>
      </w:r>
      <w:r>
        <w:t xml:space="preserve">(lat 36.847, lon -2.041) → itinerario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GET /rutas/recomendaciones?idioma=en</w:t>
      </w:r>
      <w:r>
        <w:t xml:space="preserve"> </w:t>
      </w:r>
      <w:r>
        <w:t xml:space="preserve">→ eventos + recursos (EN)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POST /chatbot/query</w:t>
      </w:r>
      <w:r>
        <w:t xml:space="preserve"> </w:t>
      </w:r>
      <w:r>
        <w:t xml:space="preserve">ES → respuesta con fuente / confianza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POST /chatbot/query</w:t>
      </w:r>
      <w:r>
        <w:t xml:space="preserve"> </w:t>
      </w:r>
      <w:r>
        <w:t xml:space="preserve">fuera de dominio →</w:t>
      </w:r>
      <w:r>
        <w:t xml:space="preserve"> </w:t>
      </w:r>
      <w:r>
        <w:rPr>
          <w:b/>
          <w:bCs/>
        </w:rPr>
        <w:t xml:space="preserve">fallback</w:t>
      </w:r>
      <w:r>
        <w:t xml:space="preserve"> </w:t>
      </w:r>
      <w:r>
        <w:t xml:space="preserve">(no inventa)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>GET /incidencias?desde=&lt;inicio_mes_anterior&gt;T00:00:00Z&amp;hasta=&lt;inicio_mes_actual&gt;T00:00:00Z → 8 incidencias (el seed las crea relativas al mes natural anterior a la fecha de arranque)</w:t>
      </w:r>
      <w:r/>
      <w:r/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>GET /incidencias/ans?desde=…&amp;hasta=… → cumplimiento por severidad (esperado: alta ≈ 66,7 % — 3 altas, 2 cumplen)</w:t>
      </w:r>
      <w:r/>
      <w:r/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>GET /dashboards/reports/monthly?year=&lt;aaaa&gt;&amp;month=&lt;mm&gt; → disponibilidad real</w:t>
      </w:r>
      <w:r/>
      <w:r/>
    </w:p>
    <w:bookmarkEnd w:id="10"/>
    <w:bookmarkStart w:id="11" w:name="panel-secciones"/>
    <w:p>
      <w:pPr>
        <w:pStyle w:val="Heading2"/>
      </w:pPr>
      <w:r>
        <w:t xml:space="preserve">Panel (secciones)</w:t>
      </w:r>
    </w:p>
    <w:p>
      <w:pPr>
        <w:pStyle w:val="Compact"/>
        <w:numPr>
          <w:ilvl w:val="0"/>
          <w:numId w:val="1021"/>
        </w:numPr>
      </w:pPr>
      <w:r>
        <w:t xml:space="preserve">Dashboard (resumen) carga con KPIs</w:t>
      </w:r>
    </w:p>
    <w:p>
      <w:pPr>
        <w:pStyle w:val="Compact"/>
        <w:numPr>
          <w:ilvl w:val="0"/>
          <w:numId w:val="1022"/>
        </w:numPr>
      </w:pPr>
      <w:r>
        <w:t xml:space="preserve">Recursos: tabla + alta/edición (CRUD)</w:t>
      </w:r>
    </w:p>
    <w:p>
      <w:pPr>
        <w:pStyle w:val="Compact"/>
        <w:numPr>
          <w:ilvl w:val="0"/>
          <w:numId w:val="1023"/>
        </w:numPr>
      </w:pPr>
      <w:r>
        <w:t xml:space="preserve">Eventos: listado/alta</w:t>
      </w:r>
    </w:p>
    <w:p>
      <w:pPr>
        <w:pStyle w:val="Compact"/>
        <w:numPr>
          <w:ilvl w:val="0"/>
          <w:numId w:val="1024"/>
        </w:numPr>
      </w:pPr>
      <w:r>
        <w:t xml:space="preserve">Smart Office: sensores y serie ambiental</w:t>
      </w:r>
    </w:p>
    <w:p>
      <w:pPr>
        <w:pStyle w:val="Compact"/>
        <w:numPr>
          <w:ilvl w:val="0"/>
          <w:numId w:val="1025"/>
        </w:numPr>
      </w:pPr>
      <w:r>
        <w:t xml:space="preserve">Social Listening: sentimiento, SoV, temas,</w:t>
      </w:r>
      <w:r>
        <w:t xml:space="preserve"> </w:t>
      </w:r>
      <w:r>
        <w:rPr>
          <w:b/>
          <w:bCs/>
        </w:rPr>
        <w:t xml:space="preserve">NPS</w:t>
      </w:r>
      <w:r>
        <w:t xml:space="preserve">,</w:t>
      </w:r>
      <w:r>
        <w:t xml:space="preserve"> </w:t>
      </w:r>
      <w:r>
        <w:rPr>
          <w:b/>
          <w:bCs/>
        </w:rPr>
        <w:t xml:space="preserve">composición lingüística</w:t>
      </w:r>
    </w:p>
    <w:p>
      <w:pPr>
        <w:pStyle w:val="Compact"/>
        <w:numPr>
          <w:ilvl w:val="0"/>
          <w:numId w:val="1026"/>
        </w:numPr>
      </w:pPr>
      <w:r>
        <w:t xml:space="preserve">Chatbot: telemetría</w:t>
      </w:r>
    </w:p>
    <w:p>
      <w:pPr>
        <w:pStyle w:val="Compact"/>
        <w:numPr>
          <w:ilvl w:val="0"/>
          <w:numId w:val="1027"/>
        </w:numPr>
      </w:pPr>
      <w:r>
        <w:t xml:space="preserve">Mapa: POIs en Leaflet</w:t>
      </w:r>
    </w:p>
    <w:p>
      <w:pPr>
        <w:pStyle w:val="Compact"/>
        <w:numPr>
          <w:ilvl w:val="0"/>
          <w:numId w:val="1028"/>
        </w:numPr>
      </w:pPr>
      <w:r>
        <w:t xml:space="preserve">Tótems: uso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Mantenimiento · ANS</w:t>
      </w:r>
      <w:r>
        <w:t xml:space="preserve">: disponibilidad, ANS, incidencias,</w:t>
      </w:r>
      <w:r>
        <w:t xml:space="preserve"> </w:t>
      </w:r>
      <w:r>
        <w:rPr>
          <w:b/>
          <w:bCs/>
        </w:rPr>
        <w:t xml:space="preserve">descargar informe .md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Predicción y contexto</w:t>
      </w:r>
      <w:r>
        <w:t xml:space="preserve">: curva + bandas, MAPE/anomalías/factor, cambiar métrica</w:t>
      </w:r>
    </w:p>
    <w:bookmarkEnd w:id="11"/>
    <w:bookmarkStart w:id="12" w:name="tótem-chromeedge"/>
    <w:p>
      <w:pPr>
        <w:pStyle w:val="Heading2"/>
      </w:pPr>
      <w:r>
        <w:t xml:space="preserve">Tótem (Chrome/Edge)</w:t>
      </w:r>
    </w:p>
    <w:p>
      <w:pPr>
        <w:pStyle w:val="Compact"/>
        <w:numPr>
          <w:ilvl w:val="0"/>
          <w:numId w:val="1031"/>
        </w:numPr>
      </w:pPr>
      <w:r>
        <w:t xml:space="preserve">Idiomas ES/EN/DE/FR cambian toda la UI</w:t>
      </w:r>
    </w:p>
    <w:p>
      <w:pPr>
        <w:pStyle w:val="Compact"/>
        <w:numPr>
          <w:ilvl w:val="0"/>
          <w:numId w:val="1032"/>
        </w:numPr>
      </w:pPr>
      <w:r>
        <w:t xml:space="preserve">Accesibilidad: A+ (texto grande) y ◐ (alto contraste)</w:t>
      </w:r>
    </w:p>
    <w:p>
      <w:pPr>
        <w:pStyle w:val="Compact"/>
        <w:numPr>
          <w:ilvl w:val="0"/>
          <w:numId w:val="1033"/>
        </w:numPr>
      </w:pPr>
      <w:r>
        <w:t xml:space="preserve">Categorías incl.</w:t>
      </w:r>
      <w:r>
        <w:t xml:space="preserve"> </w:t>
      </w:r>
      <w:r>
        <w:rPr>
          <w:b/>
          <w:bCs/>
        </w:rPr>
        <w:t xml:space="preserve">Eventos</w:t>
      </w:r>
      <w:r>
        <w:t xml:space="preserve">; detalle de POI (modal)</w:t>
      </w:r>
    </w:p>
    <w:p>
      <w:pPr>
        <w:pStyle w:val="Compact"/>
        <w:numPr>
          <w:ilvl w:val="0"/>
          <w:numId w:val="1034"/>
        </w:numPr>
      </w:pPr>
      <w:r>
        <w:t xml:space="preserve">Chatbot (texto) responde en el idioma activo</w:t>
      </w:r>
    </w:p>
    <w:p>
      <w:pPr>
        <w:pStyle w:val="Compact"/>
        <w:numPr>
          <w:ilvl w:val="0"/>
          <w:numId w:val="1035"/>
        </w:numPr>
      </w:pPr>
      <w:r>
        <w:t xml:space="preserve">Voz: 🎤 dicta la pregunta · 🔊 lee la respuesta</w:t>
      </w:r>
    </w:p>
    <w:p>
      <w:pPr>
        <w:pStyle w:val="Compact"/>
        <w:numPr>
          <w:ilvl w:val="0"/>
          <w:numId w:val="1036"/>
        </w:numPr>
      </w:pPr>
      <w:r>
        <w:t xml:space="preserve">Planificador "Sugerir ruta cercana" → paradas + distancia</w:t>
      </w:r>
    </w:p>
    <w:p>
      <w:pPr>
        <w:pStyle w:val="Compact"/>
        <w:numPr>
          <w:ilvl w:val="0"/>
          <w:numId w:val="1037"/>
        </w:numPr>
      </w:pPr>
      <w:r>
        <w:t xml:space="preserve">"¿Qué visitar hoy?" → eventos + lugares</w:t>
      </w:r>
    </w:p>
    <w:p>
      <w:pPr>
        <w:pStyle w:val="Compact"/>
        <w:numPr>
          <w:ilvl w:val="0"/>
          <w:numId w:val="1038"/>
        </w:numPr>
      </w:pPr>
      <w:r>
        <w:t xml:space="preserve">Inactividad 60 s → vuelve al inicio</w:t>
      </w:r>
    </w:p>
    <w:bookmarkEnd w:id="12"/>
    <w:bookmarkStart w:id="13" w:name="valores-de-referencia-demo"/>
    <w:p>
      <w:pPr>
        <w:pStyle w:val="Heading2"/>
      </w:pPr>
      <w:r>
        <w:t xml:space="preserve">Valores de referencia (demo)</w:t>
      </w:r>
    </w:p>
    <w:p>
      <w:pPr>
        <w:pStyle w:val="Compact"/>
        <w:numPr>
          <w:ilvl w:val="0"/>
          <w:numId w:val="1039"/>
        </w:numPr>
      </w:pPr>
      <w:r>
        <w:t xml:space="preserve">Disponibilidad media ≈</w:t>
      </w:r>
      <w:r>
        <w:t xml:space="preserve"> </w:t>
      </w:r>
      <w:r>
        <w:rPr>
          <w:b/>
          <w:bCs/>
        </w:rPr>
        <w:t xml:space="preserve">99,3 %</w:t>
      </w:r>
      <w:r>
        <w:t xml:space="preserve"> </w:t>
      </w:r>
      <w:r>
        <w:t xml:space="preserve">· ANS "alta" ≈</w:t>
      </w:r>
      <w:r>
        <w:t xml:space="preserve"> </w:t>
      </w:r>
      <w:r>
        <w:rPr>
          <w:b/>
          <w:bCs/>
        </w:rPr>
        <w:t xml:space="preserve">66,7 %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incidencias ·</w:t>
      </w:r>
      <w:r>
        <w:t xml:space="preserve"> </w:t>
      </w:r>
      <w:r>
        <w:rPr>
          <w:b/>
          <w:bCs/>
        </w:rPr>
        <w:t xml:space="preserve">105</w:t>
      </w:r>
      <w:r>
        <w:t xml:space="preserve"> </w:t>
      </w:r>
      <w:r>
        <w:t xml:space="preserve">FAQs</w:t>
      </w:r>
    </w:p>
    <w:bookmarkEnd w:id="13"/>
    <w:bookmarkStart w:id="14" w:name="notas--incidencias-detectadas"/>
    <w:p>
      <w:pPr>
        <w:pStyle w:val="Heading2"/>
      </w:pPr>
      <w:r>
        <w:t xml:space="preserve">Notas / incidencias detectadas</w:t>
      </w:r>
    </w:p>
    <w:p>
      <w:pPr>
        <w:pStyle w:val="Compact"/>
      </w:pPr>
      <w:r>
        <w:t>Los seeds (recursos, sensores, FAQs, eventos, observaciones, incidencias del mes anterior y contexto histórico) se cargan automáticamente al arrancar la API (flag RUN_SEEDS_ON_STARTUP). Para forzar reload: `docker compose exec api python -m nijar_dti.data.seed_loader`.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Reportar en</w:t>
      </w:r>
      <w:r>
        <w:t xml:space="preserve"> </w:t>
      </w:r>
      <w:r>
        <w:rPr>
          <w:rStyle w:val="VerbatimChar"/>
        </w:rPr>
        <w:t xml:space="preserve">POST /api/v1/incidencias</w:t>
      </w:r>
      <w:r>
        <w:t xml:space="preserve"> </w:t>
      </w:r>
      <w:r>
        <w:t xml:space="preserve">o por el canal del equipo (pasos, sección/endpoint, esperado vs obtenido, navegador).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2026-06-19T08:22:16Z</dcterms:created>
  <dcterms:modified xsi:type="dcterms:W3CDTF">2026-06-19T08:22:16Z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