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color w:val="14305A"/>
          <w:sz w:val="28"/>
          <w:szCs w:val="28"/>
        </w:rPr>
        <w:t xml:space="preserve">DỰ ÁN KHỞI NGHIỆP</w:t>
      </w:r>
    </w:p>
    <w:p>
      <w:pPr>
        <w:spacing w:after="120"/>
      </w:pPr>
      <w:r>
        <w:rPr>
          <w:rFonts w:ascii="Arial" w:cs="Arial" w:eastAsia="Arial" w:hAnsi="Arial"/>
          <w:b/>
          <w:bCs/>
          <w:color w:val="1F7A4D"/>
          <w:sz w:val="96"/>
          <w:szCs w:val="96"/>
        </w:rPr>
        <w:t xml:space="preserve">Smart-Home</w:t>
      </w:r>
    </w:p>
    <w:p>
      <w:pPr>
        <w:spacing w:after="600"/>
      </w:pPr>
      <w:r>
        <w:rPr>
          <w:rFonts w:ascii="Arial" w:cs="Arial" w:eastAsia="Arial" w:hAnsi="Arial"/>
          <w:color w:val="14305A"/>
          <w:sz w:val="26"/>
          <w:szCs w:val="26"/>
        </w:rPr>
        <w:t xml:space="preserve">Kết nối – Tiện nghi – An toàn – Tiết kiệm</w:t>
      </w:r>
    </w:p>
    <w:p>
      <w:pPr>
        <w:pBdr>
          <w:top w:val="single" w:color="1F7A4D" w:sz="12" w:space="8"/>
        </w:pBdr>
        <w:spacing w:after="120"/>
      </w:pPr>
      <w:r>
        <w:rPr>
          <w:rFonts w:ascii="Arial" w:cs="Arial" w:eastAsia="Arial" w:hAnsi="Arial"/>
          <w:b/>
          <w:bCs/>
          <w:color w:val="14305A"/>
          <w:sz w:val="40"/>
          <w:szCs w:val="40"/>
        </w:rPr>
        <w:t xml:space="preserve">ĐẶC TẢ YÊU CẦU PHẦN MỀM (SRS)</w:t>
      </w:r>
    </w:p>
    <w:p>
      <w:pPr>
        <w:spacing w:after="600"/>
      </w:pPr>
      <w:r>
        <w:rPr>
          <w:rFonts w:ascii="Arial" w:cs="Arial" w:eastAsia="Arial" w:hAnsi="Arial"/>
          <w:sz w:val="26"/>
          <w:szCs w:val="26"/>
        </w:rPr>
        <w:t xml:space="preserve">Nền tảng đấu giá nhà đất trực tuyến tích hợp nhà thông minh</w:t>
      </w:r>
    </w:p>
    <w:p>
      <w:pPr>
        <w:spacing w:after="120" w:line="300"/>
      </w:pPr>
      <w:r>
        <w:rPr>
          <w:rFonts w:ascii="Arial" w:cs="Arial" w:eastAsia="Arial" w:hAnsi="Arial"/>
          <w:sz w:val="22"/>
          <w:szCs w:val="22"/>
        </w:rPr>
        <w:t xml:space="preserve">Phiên bản: 1.0</w:t>
      </w:r>
    </w:p>
    <w:p>
      <w:pPr>
        <w:spacing w:after="120" w:line="300"/>
      </w:pPr>
      <w:r>
        <w:rPr>
          <w:rFonts w:ascii="Arial" w:cs="Arial" w:eastAsia="Arial" w:hAnsi="Arial"/>
          <w:sz w:val="22"/>
          <w:szCs w:val="22"/>
        </w:rPr>
        <w:t xml:space="preserve">Ngày lập: 21/10/2026</w:t>
      </w:r>
    </w:p>
    <w:p>
      <w:pPr>
        <w:spacing w:after="120" w:line="300"/>
      </w:pPr>
      <w:r>
        <w:rPr>
          <w:rFonts w:ascii="Arial" w:cs="Arial" w:eastAsia="Arial" w:hAnsi="Arial"/>
          <w:sz w:val="22"/>
          <w:szCs w:val="22"/>
        </w:rPr>
        <w:t xml:space="preserve">Đơn vị: Nhóm sinh viên khởi nghiệp Smart-Home</w:t>
      </w:r>
    </w:p>
    <w:p>
      <w:pPr>
        <w:spacing w:after="120" w:line="300"/>
      </w:pPr>
      <w:r>
        <w:rPr>
          <w:rFonts w:ascii="Arial" w:cs="Arial" w:eastAsia="Arial" w:hAnsi="Arial"/>
          <w:sz w:val="22"/>
          <w:szCs w:val="22"/>
        </w:rPr>
        <w:t xml:space="preserve">Gửi: Đối tác</w:t>
      </w:r>
    </w:p>
    <w:p>
      <w:r>
        <w:br w:type="page"/>
      </w:r>
    </w:p>
    <w:p>
      <w:pPr>
        <w:spacing w:after="200"/>
      </w:pPr>
      <w:r>
        <w:rPr>
          <w:rFonts w:ascii="Arial" w:cs="Arial" w:eastAsia="Arial" w:hAnsi="Arial"/>
          <w:b/>
          <w:bCs/>
          <w:color w:val="14305A"/>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20" w:line="300"/>
      </w:pPr>
      <w:r>
        <w:rPr>
          <w:rFonts w:ascii="Arial" w:cs="Arial" w:eastAsia="Arial" w:hAnsi="Arial"/>
          <w:sz w:val="22"/>
          <w:szCs w:val="22"/>
        </w:rPr>
        <w:t xml:space="preserve">Tài liệu này mô tả đầy đủ các yêu cầu của nền tảng Smart-Home: hệ thống đấu giá nhà đất trực tuyến, quản lý danh mục bất động sản và tính hoa hồng môi giới. Tài liệu là cơ sở thống nhất giữa nhóm phát triển và đối tác trước khi thiết kế và xây dựng.</w:t>
      </w:r>
    </w:p>
    <w:p>
      <w:pPr>
        <w:pStyle w:val="Heading2"/>
      </w:pPr>
      <w:r>
        <w:t xml:space="preserve">1.2 Phạm vi sản phẩm</w:t>
      </w:r>
    </w:p>
    <w:p>
      <w:pPr>
        <w:spacing w:after="120" w:line="300"/>
      </w:pPr>
      <w:r>
        <w:rPr>
          <w:rFonts w:ascii="Arial" w:cs="Arial" w:eastAsia="Arial" w:hAnsi="Arial"/>
          <w:sz w:val="22"/>
          <w:szCs w:val="22"/>
        </w:rPr>
        <w:t xml:space="preserve">Smart-Home cho phép chủ nhà đăng tài sản, môi giới quản lý danh mục, nhà đầu tư tham gia đấu giá minh bạch và nhận hợp đồng điện tử. Mỗi tài sản có thể kèm gói nhà thông minh (khóa cửa, camera, điều hòa, rèm cửa) để tăng giá trị.</w:t>
      </w:r>
    </w:p>
    <w:p>
      <w:pPr>
        <w:pStyle w:val="Heading3"/>
      </w:pPr>
      <w:r>
        <w:t xml:space="preserve">1.2.1 Trong phạm vi</w:t>
      </w:r>
    </w:p>
    <w:p>
      <w:pPr>
        <w:pStyle w:val="ListParagraph"/>
        <w:numPr>
          <w:ilvl w:val="0"/>
          <w:numId w:val="2"/>
        </w:numPr>
        <w:spacing w:after="80"/>
      </w:pPr>
      <w:r>
        <w:rPr>
          <w:rFonts w:ascii="Arial" w:cs="Arial" w:eastAsia="Arial" w:hAnsi="Arial"/>
          <w:sz w:val="22"/>
          <w:szCs w:val="22"/>
        </w:rPr>
        <w:t xml:space="preserve">Đăng tin, thẩm định và phê duyệt tài sản.</w:t>
      </w:r>
    </w:p>
    <w:p>
      <w:pPr>
        <w:pStyle w:val="ListParagraph"/>
        <w:numPr>
          <w:ilvl w:val="0"/>
          <w:numId w:val="2"/>
        </w:numPr>
        <w:spacing w:after="80"/>
      </w:pPr>
      <w:r>
        <w:rPr>
          <w:rFonts w:ascii="Arial" w:cs="Arial" w:eastAsia="Arial" w:hAnsi="Arial"/>
          <w:sz w:val="22"/>
          <w:szCs w:val="22"/>
        </w:rPr>
        <w:t xml:space="preserve">Phiên đấu giá trực tuyến theo thời gian thực.</w:t>
      </w:r>
    </w:p>
    <w:p>
      <w:pPr>
        <w:pStyle w:val="ListParagraph"/>
        <w:numPr>
          <w:ilvl w:val="0"/>
          <w:numId w:val="2"/>
        </w:numPr>
        <w:spacing w:after="80"/>
      </w:pPr>
      <w:r>
        <w:rPr>
          <w:rFonts w:ascii="Arial" w:cs="Arial" w:eastAsia="Arial" w:hAnsi="Arial"/>
          <w:sz w:val="22"/>
          <w:szCs w:val="22"/>
        </w:rPr>
        <w:t xml:space="preserve">Tính chiết khấu, giá thuê và hoa hồng môi giới.</w:t>
      </w:r>
    </w:p>
    <w:p>
      <w:pPr>
        <w:pStyle w:val="ListParagraph"/>
        <w:numPr>
          <w:ilvl w:val="0"/>
          <w:numId w:val="2"/>
        </w:numPr>
        <w:spacing w:after="80"/>
      </w:pPr>
      <w:r>
        <w:rPr>
          <w:rFonts w:ascii="Arial" w:cs="Arial" w:eastAsia="Arial" w:hAnsi="Arial"/>
          <w:sz w:val="22"/>
          <w:szCs w:val="22"/>
        </w:rPr>
        <w:t xml:space="preserve">Ứng dụng di động điều khiển thiết bị nhà thông minh.</w:t>
      </w:r>
    </w:p>
    <w:p>
      <w:pPr>
        <w:pStyle w:val="Heading3"/>
      </w:pPr>
      <w:r>
        <w:t xml:space="preserve">1.2.2 Ngoài phạm vi</w:t>
      </w:r>
    </w:p>
    <w:p>
      <w:pPr>
        <w:pStyle w:val="ListParagraph"/>
        <w:numPr>
          <w:ilvl w:val="0"/>
          <w:numId w:val="2"/>
        </w:numPr>
        <w:spacing w:after="80"/>
      </w:pPr>
      <w:r>
        <w:rPr>
          <w:rFonts w:ascii="Arial" w:cs="Arial" w:eastAsia="Arial" w:hAnsi="Arial"/>
          <w:sz w:val="22"/>
          <w:szCs w:val="22"/>
        </w:rPr>
        <w:t xml:space="preserve">Thủ tục pháp lý sang tên tại cơ quan nhà nước.</w:t>
      </w:r>
    </w:p>
    <w:p>
      <w:pPr>
        <w:pStyle w:val="ListParagraph"/>
        <w:numPr>
          <w:ilvl w:val="0"/>
          <w:numId w:val="2"/>
        </w:numPr>
        <w:spacing w:after="80"/>
      </w:pPr>
      <w:r>
        <w:rPr>
          <w:rFonts w:ascii="Arial" w:cs="Arial" w:eastAsia="Arial" w:hAnsi="Arial"/>
          <w:sz w:val="22"/>
          <w:szCs w:val="22"/>
        </w:rPr>
        <w:t xml:space="preserve">Sản xuất phần cứng thiết bị IoT.</w:t>
      </w:r>
    </w:p>
    <w:p>
      <w:pPr>
        <w:pStyle w:val="Heading2"/>
      </w:pPr>
      <w:r>
        <w:t xml:space="preserve">1.3 Thuật ngữ và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Thuật ngữ</w:t>
            </w:r>
          </w:p>
        </w:tc>
        <w:tc>
          <w:tcPr>
            <w:tcW w:type="dxa" w:w="716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Định nghĩa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Software Requirements Specification – đặc tả yêu cầu phần mềm.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BĐS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Bất động sản.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Giá khởi điểm</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Mức giá thấp nhất mà phiên đấu giá bắt đầu.</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Bước giá</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Mức tăng tối thiểu giữa hai lần trả giá liên tiếp.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Hoa hồng</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Khoản thù lao môi giới = Giá bán × Tỷ lệ hoa hồng.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IoT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Internet of Things – thiết bị kết nối mạng.</w:t>
            </w:r>
          </w:p>
        </w:tc>
      </w:tr>
    </w:tbl>
    <w:p>
      <w:pPr>
        <w:spacing w:after="120"/>
      </w:pPr>
    </w:p>
    <w:p>
      <w:pPr>
        <w:pStyle w:val="Heading2"/>
      </w:pPr>
      <w:r>
        <w:t xml:space="preserve">1.4 Tài liệu tham khảo</w:t>
      </w:r>
    </w:p>
    <w:p>
      <w:pPr>
        <w:pStyle w:val="ListParagraph"/>
        <w:numPr>
          <w:ilvl w:val="0"/>
          <w:numId w:val="2"/>
        </w:numPr>
        <w:spacing w:after="80"/>
      </w:pPr>
      <w:r>
        <w:rPr>
          <w:rFonts w:ascii="Arial" w:cs="Arial" w:eastAsia="Arial" w:hAnsi="Arial"/>
          <w:sz w:val="22"/>
          <w:szCs w:val="22"/>
        </w:rPr>
        <w:t xml:space="preserve">IEEE Std 830-1998 – Khuyến nghị thực hành đặc tả yêu cầu phần mềm.</w:t>
      </w:r>
    </w:p>
    <w:p>
      <w:pPr>
        <w:pStyle w:val="ListParagraph"/>
        <w:numPr>
          <w:ilvl w:val="0"/>
          <w:numId w:val="2"/>
        </w:numPr>
        <w:spacing w:after="80"/>
      </w:pPr>
      <w:r>
        <w:rPr>
          <w:rFonts w:ascii="Arial" w:cs="Arial" w:eastAsia="Arial" w:hAnsi="Arial"/>
          <w:sz w:val="22"/>
          <w:szCs w:val="22"/>
        </w:rPr>
        <w:t xml:space="preserve">Bảng tính SmartHome_QuanLy_NhaDat.xlsx – danh sách BĐS và bảng tra hoa hồng.</w:t>
      </w:r>
    </w:p>
    <w:p>
      <w:pPr>
        <w:pStyle w:val="ListParagraph"/>
        <w:numPr>
          <w:ilvl w:val="0"/>
          <w:numId w:val="2"/>
        </w:numPr>
        <w:spacing w:after="80"/>
      </w:pPr>
      <w:r>
        <w:rPr>
          <w:rFonts w:ascii="Arial" w:cs="Arial" w:eastAsia="Arial" w:hAnsi="Arial"/>
          <w:sz w:val="22"/>
          <w:szCs w:val="22"/>
        </w:rPr>
        <w:t xml:space="preserve">Bộ slide Pitch Deck Smart-Home.</w:t>
      </w:r>
    </w:p>
    <w:p>
      <w:pPr>
        <w:pStyle w:val="Heading1"/>
      </w:pPr>
      <w:r>
        <w:t xml:space="preserve">2. Mô tả tổng quan</w:t>
      </w:r>
    </w:p>
    <w:p>
      <w:pPr>
        <w:pStyle w:val="Heading2"/>
      </w:pPr>
      <w:r>
        <w:t xml:space="preserve">2.1 Bối cảnh sản phẩm</w:t>
      </w:r>
    </w:p>
    <w:p>
      <w:pPr>
        <w:spacing w:after="120" w:line="300"/>
      </w:pPr>
      <w:r>
        <w:rPr>
          <w:rFonts w:ascii="Arial" w:cs="Arial" w:eastAsia="Arial" w:hAnsi="Arial"/>
          <w:sz w:val="22"/>
          <w:szCs w:val="22"/>
        </w:rPr>
        <w:t xml:space="preserve">Thị trường nhà đất hiện nay thiếu minh bạch về giá, quy trình thương lượng kéo dài và người mua khó kiểm chứng thông tin. Smart-Home đưa quy trình đấu giá lên nền tảng trực tuyến, đồng thời gắn công nghệ nhà thông minh để tạo điểm khác biệt.</w:t>
      </w:r>
    </w:p>
    <w:p>
      <w:pPr>
        <w:pStyle w:val="Heading2"/>
      </w:pPr>
      <w:r>
        <w:t xml:space="preserve">2.2 Nhóm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716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Chủ nhà</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Đăng tài sản, đặt giá khởi điểm, theo dõi phiên đấu giá.</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Môi giới</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Quản lý danh mục, hỗ trợ khách, nhận hoa hồng theo mã môi giới.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Nhà đầu tư / Người mua</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Tìm kiếm, đặt cọc, trả giá, ký hợp đồng điện tử.</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Quản trị viên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Duyệt tin, giám sát phiên, xử lý tranh chấp, đối soát hoa hồng.</w:t>
            </w:r>
          </w:p>
        </w:tc>
      </w:tr>
    </w:tbl>
    <w:p>
      <w:pPr>
        <w:spacing w:after="120"/>
      </w:pPr>
    </w:p>
    <w:p>
      <w:pPr>
        <w:pStyle w:val="Heading2"/>
      </w:pPr>
      <w:r>
        <w:t xml:space="preserve">2.3 Ràng buộc và giả định</w:t>
      </w:r>
    </w:p>
    <w:p>
      <w:pPr>
        <w:pStyle w:val="Heading3"/>
      </w:pPr>
      <w:r>
        <w:t xml:space="preserve">2.3.1 Ràng buộc</w:t>
      </w:r>
    </w:p>
    <w:p>
      <w:pPr>
        <w:pStyle w:val="ListParagraph"/>
        <w:numPr>
          <w:ilvl w:val="0"/>
          <w:numId w:val="2"/>
        </w:numPr>
        <w:spacing w:after="80"/>
      </w:pPr>
      <w:r>
        <w:rPr>
          <w:rFonts w:ascii="Arial" w:cs="Arial" w:eastAsia="Arial" w:hAnsi="Arial"/>
          <w:sz w:val="22"/>
          <w:szCs w:val="22"/>
        </w:rPr>
        <w:t xml:space="preserve">Tuân thủ quy định pháp luật Việt Nam về bảo vệ dữ liệu cá nhân và giao dịch điện tử.</w:t>
      </w:r>
    </w:p>
    <w:p>
      <w:pPr>
        <w:pStyle w:val="ListParagraph"/>
        <w:numPr>
          <w:ilvl w:val="0"/>
          <w:numId w:val="2"/>
        </w:numPr>
        <w:spacing w:after="80"/>
      </w:pPr>
      <w:r>
        <w:rPr>
          <w:rFonts w:ascii="Arial" w:cs="Arial" w:eastAsia="Arial" w:hAnsi="Arial"/>
          <w:sz w:val="22"/>
          <w:szCs w:val="22"/>
        </w:rPr>
        <w:t xml:space="preserve">Hỗ trợ trình duyệt hiện đại và ứng dụng iOS, Android.</w:t>
      </w:r>
    </w:p>
    <w:p>
      <w:pPr>
        <w:pStyle w:val="Heading3"/>
      </w:pPr>
      <w:r>
        <w:t xml:space="preserve">2.3.2 Giả định</w:t>
      </w:r>
    </w:p>
    <w:p>
      <w:pPr>
        <w:pStyle w:val="ListParagraph"/>
        <w:numPr>
          <w:ilvl w:val="0"/>
          <w:numId w:val="2"/>
        </w:numPr>
        <w:spacing w:after="80"/>
      </w:pPr>
      <w:r>
        <w:rPr>
          <w:rFonts w:ascii="Arial" w:cs="Arial" w:eastAsia="Arial" w:hAnsi="Arial"/>
          <w:sz w:val="22"/>
          <w:szCs w:val="22"/>
        </w:rPr>
        <w:t xml:space="preserve">Mỗi tài sản đã có giấy tờ pháp lý hợp lệ trước khi đưa lên đấu giá.</w:t>
      </w:r>
    </w:p>
    <w:p>
      <w:pPr>
        <w:pStyle w:val="ListParagraph"/>
        <w:numPr>
          <w:ilvl w:val="0"/>
          <w:numId w:val="2"/>
        </w:numPr>
        <w:spacing w:after="80"/>
      </w:pPr>
      <w:r>
        <w:rPr>
          <w:rFonts w:ascii="Arial" w:cs="Arial" w:eastAsia="Arial" w:hAnsi="Arial"/>
          <w:sz w:val="22"/>
          <w:szCs w:val="22"/>
        </w:rPr>
        <w:t xml:space="preserve">Người dùng có tài khoản ngân hàng để đặt cọc và thanh toán.</w:t>
      </w:r>
    </w:p>
    <w:p>
      <w:pPr>
        <w:pStyle w:val="Heading1"/>
      </w:pPr>
      <w:r>
        <w:t xml:space="preserve">3. Yêu cầu chức năng</w:t>
      </w:r>
    </w:p>
    <w:p>
      <w:pPr>
        <w:pStyle w:val="Heading2"/>
      </w:pPr>
      <w:r>
        <w:t xml:space="preserve">3.1 Quản lý tài khoản</w:t>
      </w:r>
    </w:p>
    <w:p>
      <w:pPr>
        <w:pStyle w:val="Heading3"/>
      </w:pPr>
      <w:r>
        <w:t xml:space="preserve">3.1.1 FR-01 Đăng ký và đăng nhập</w:t>
      </w:r>
    </w:p>
    <w:p>
      <w:pPr>
        <w:spacing w:after="120" w:line="300"/>
      </w:pPr>
      <w:r>
        <w:rPr>
          <w:rFonts w:ascii="Arial" w:cs="Arial" w:eastAsia="Arial" w:hAnsi="Arial"/>
          <w:sz w:val="22"/>
          <w:szCs w:val="22"/>
        </w:rPr>
        <w:t xml:space="preserve">Hệ thống cho phép đăng ký bằng email hoặc số điện thoại, xác thực OTP và đăng nhập an toàn.</w:t>
      </w:r>
    </w:p>
    <w:p>
      <w:pPr>
        <w:pStyle w:val="Heading3"/>
      </w:pPr>
      <w:r>
        <w:t xml:space="preserve">3.1.2 FR-02 Xác minh danh tính (eKYC)</w:t>
      </w:r>
    </w:p>
    <w:p>
      <w:pPr>
        <w:spacing w:after="120" w:line="300"/>
      </w:pPr>
      <w:r>
        <w:rPr>
          <w:rFonts w:ascii="Arial" w:cs="Arial" w:eastAsia="Arial" w:hAnsi="Arial"/>
          <w:sz w:val="22"/>
          <w:szCs w:val="22"/>
        </w:rPr>
        <w:t xml:space="preserve">Người tham gia đấu giá phải xác minh giấy tờ tùy thân trước khi được đặt cọc.</w:t>
      </w:r>
    </w:p>
    <w:p>
      <w:pPr>
        <w:pStyle w:val="Heading2"/>
      </w:pPr>
      <w:r>
        <w:t xml:space="preserve">3.2 Quản lý tin đăng bất động sản</w:t>
      </w:r>
    </w:p>
    <w:p>
      <w:pPr>
        <w:pStyle w:val="Heading3"/>
      </w:pPr>
      <w:r>
        <w:t xml:space="preserve">3.2.1 FR-03 Tạo và duyệt tin đăng</w:t>
      </w:r>
    </w:p>
    <w:p>
      <w:pPr>
        <w:spacing w:after="120" w:line="300"/>
      </w:pPr>
      <w:r>
        <w:rPr>
          <w:rFonts w:ascii="Arial" w:cs="Arial" w:eastAsia="Arial" w:hAnsi="Arial"/>
          <w:sz w:val="22"/>
          <w:szCs w:val="22"/>
        </w:rPr>
        <w:t xml:space="preserve">Chủ nhà hoặc môi giới nhập mã BĐS, tên, loại (biệt thự, căn hộ, nhà phố), giá, hình ảnh. Quản trị viên duyệt trước khi hiển thị.</w:t>
      </w:r>
    </w:p>
    <w:p>
      <w:pPr>
        <w:pStyle w:val="Heading3"/>
      </w:pPr>
      <w:r>
        <w:t xml:space="preserve">3.2.2 FR-04 Danh mục dạng bảng chuẩn</w:t>
      </w:r>
    </w:p>
    <w:p>
      <w:pPr>
        <w:spacing w:after="120" w:line="300"/>
      </w:pPr>
      <w:r>
        <w:rPr>
          <w:rFonts w:ascii="Arial" w:cs="Arial" w:eastAsia="Arial" w:hAnsi="Arial"/>
          <w:sz w:val="22"/>
          <w:szCs w:val="22"/>
        </w:rPr>
        <w:t xml:space="preserve">Dữ liệu BĐS lưu theo cấu trúc: mỗi cột là một Field, mỗi hàng là một Record, có khóa duy nhất là Mã BĐS, không gộp ô.</w:t>
      </w:r>
    </w:p>
    <w:p>
      <w:pPr>
        <w:pStyle w:val="Heading2"/>
      </w:pPr>
      <w:r>
        <w:t xml:space="preserve">3.3 Đấu giá trực tuyến</w:t>
      </w:r>
    </w:p>
    <w:p>
      <w:pPr>
        <w:pStyle w:val="Heading3"/>
      </w:pPr>
      <w:r>
        <w:t xml:space="preserve">3.3.1 FR-05 Thiết lập phiên đấu giá</w:t>
      </w:r>
    </w:p>
    <w:p>
      <w:pPr>
        <w:spacing w:after="120" w:line="300"/>
      </w:pPr>
      <w:r>
        <w:rPr>
          <w:rFonts w:ascii="Arial" w:cs="Arial" w:eastAsia="Arial" w:hAnsi="Arial"/>
          <w:sz w:val="22"/>
          <w:szCs w:val="22"/>
        </w:rPr>
        <w:t xml:space="preserve">Quản trị viên hoặc chủ nhà đặt giá khởi điểm, bước giá, thời gian bắt đầu và kết thúc.</w:t>
      </w:r>
    </w:p>
    <w:p>
      <w:pPr>
        <w:pStyle w:val="Heading3"/>
      </w:pPr>
      <w:r>
        <w:t xml:space="preserve">3.3.2 FR-06 Trả giá thời gian thực</w:t>
      </w:r>
    </w:p>
    <w:p>
      <w:pPr>
        <w:spacing w:after="120" w:line="300"/>
      </w:pPr>
      <w:r>
        <w:rPr>
          <w:rFonts w:ascii="Arial" w:cs="Arial" w:eastAsia="Arial" w:hAnsi="Arial"/>
          <w:sz w:val="22"/>
          <w:szCs w:val="22"/>
        </w:rPr>
        <w:t xml:space="preserve">Người mua trả giá hợp lệ (cao hơn giá hiện tại tối thiểu một bước giá); hệ thống cập nhật tức thời cho mọi người xem.</w:t>
      </w:r>
    </w:p>
    <w:p>
      <w:pPr>
        <w:pStyle w:val="Heading3"/>
      </w:pPr>
      <w:r>
        <w:t xml:space="preserve">3.3.3 FR-07 Kết thúc và xác định người thắng</w:t>
      </w:r>
    </w:p>
    <w:p>
      <w:pPr>
        <w:spacing w:after="120" w:line="300"/>
      </w:pPr>
      <w:r>
        <w:rPr>
          <w:rFonts w:ascii="Arial" w:cs="Arial" w:eastAsia="Arial" w:hAnsi="Arial"/>
          <w:sz w:val="22"/>
          <w:szCs w:val="22"/>
        </w:rPr>
        <w:t xml:space="preserve">Khi hết giờ, hệ thống chốt giá cao nhất, thông báo người thắng và khởi tạo hợp đồng điện tử.</w:t>
      </w:r>
    </w:p>
    <w:p>
      <w:pPr>
        <w:pStyle w:val="Heading2"/>
      </w:pPr>
      <w:r>
        <w:t xml:space="preserve">3.4 Giá, chiết khấu và hoa hồng</w:t>
      </w:r>
    </w:p>
    <w:p>
      <w:pPr>
        <w:pStyle w:val="Heading3"/>
      </w:pPr>
      <w:r>
        <w:t xml:space="preserve">3.4.1 FR-08 Tính chiết khấu và giá thuê</w:t>
      </w:r>
    </w:p>
    <w:p>
      <w:pPr>
        <w:spacing w:after="120" w:line="300"/>
      </w:pPr>
      <w:r>
        <w:rPr>
          <w:rFonts w:ascii="Arial" w:cs="Arial" w:eastAsia="Arial" w:hAnsi="Arial"/>
          <w:sz w:val="22"/>
          <w:szCs w:val="22"/>
        </w:rPr>
        <w:t xml:space="preserve">Giá sau chiết khấu = Giá bán × (1 − Tỷ lệ chiết khấu). Giá thuê tháng = Giá bán × Lợi suất năm ÷ 12; lợi suất là tham số cấu hình.</w:t>
      </w:r>
    </w:p>
    <w:p>
      <w:pPr>
        <w:pStyle w:val="Heading3"/>
      </w:pPr>
      <w:r>
        <w:t xml:space="preserve">3.4.2 FR-09 Tra cứu hoa hồng môi giới</w:t>
      </w:r>
    </w:p>
    <w:p>
      <w:pPr>
        <w:spacing w:after="120" w:line="300"/>
      </w:pPr>
      <w:r>
        <w:rPr>
          <w:rFonts w:ascii="Arial" w:cs="Arial" w:eastAsia="Arial" w:hAnsi="Arial"/>
          <w:sz w:val="22"/>
          <w:szCs w:val="22"/>
        </w:rPr>
        <w:t xml:space="preserve">Hệ thống tra Tỷ lệ hoa hồng theo Mã môi giới từ bảng môi giới (tương đương VLOOKUP với khớp chính xác) và tính Hoa hồng = Giá bán × Tỷ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3060"/>
      </w:tblGrid>
      <w:tr>
        <w:trPr>
          <w:tblHeader/>
        </w:trPr>
        <w:tc>
          <w:tcPr>
            <w:tcW w:type="dxa" w:w="150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Mã MG</w:t>
            </w:r>
          </w:p>
        </w:tc>
        <w:tc>
          <w:tcPr>
            <w:tcW w:type="dxa" w:w="260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Môi giới</w:t>
            </w:r>
          </w:p>
        </w:tc>
        <w:tc>
          <w:tcPr>
            <w:tcW w:type="dxa" w:w="220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Tỷ lệ hoa hồng</w:t>
            </w:r>
          </w:p>
        </w:tc>
        <w:tc>
          <w:tcPr>
            <w:tcW w:type="dxa" w:w="306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Ví dụ</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MG01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Nguyễn 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Biệt thự 15 tỷ → 300 triệu</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MG02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Trần Minh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Căn hộ 3,2 tỷ → 48 triệu</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MG03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Lê Hằng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Nhà phố 6,8 tỷ → 122,4 triệu</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MG04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Phạm Nam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Nhà phố 5,2 tỷ → 83,2 triệu</w:t>
            </w:r>
          </w:p>
        </w:tc>
      </w:tr>
    </w:tbl>
    <w:p>
      <w:pPr>
        <w:spacing w:after="120"/>
      </w:pPr>
    </w:p>
    <w:p>
      <w:pPr>
        <w:pStyle w:val="Heading2"/>
      </w:pPr>
      <w:r>
        <w:t xml:space="preserve">3.5 Nhà thông minh</w:t>
      </w:r>
    </w:p>
    <w:p>
      <w:pPr>
        <w:pStyle w:val="Heading3"/>
      </w:pPr>
      <w:r>
        <w:t xml:space="preserve">3.5.1 FR-10 Điều khiển thiết bị từ xa</w:t>
      </w:r>
    </w:p>
    <w:p>
      <w:pPr>
        <w:spacing w:after="120" w:line="300"/>
      </w:pPr>
      <w:r>
        <w:rPr>
          <w:rFonts w:ascii="Arial" w:cs="Arial" w:eastAsia="Arial" w:hAnsi="Arial"/>
          <w:sz w:val="22"/>
          <w:szCs w:val="22"/>
        </w:rPr>
        <w:t xml:space="preserve">Ứng dụng hiển thị danh sách thiết bị (đèn, điều hòa, camera, khóa cửa, rèm) và cho phép bật, tắt, xem trạng thái.</w:t>
      </w:r>
    </w:p>
    <w:p>
      <w:pPr>
        <w:pStyle w:val="Heading3"/>
      </w:pPr>
      <w:r>
        <w:t xml:space="preserve">3.5.2 FR-11 Cảnh báo an ninh và tiết kiệm năng lượng</w:t>
      </w:r>
    </w:p>
    <w:p>
      <w:pPr>
        <w:spacing w:after="120" w:line="300"/>
      </w:pPr>
      <w:r>
        <w:rPr>
          <w:rFonts w:ascii="Arial" w:cs="Arial" w:eastAsia="Arial" w:hAnsi="Arial"/>
          <w:sz w:val="22"/>
          <w:szCs w:val="22"/>
        </w:rPr>
        <w:t xml:space="preserve">Hệ thống gửi cảnh báo khi cửa mở bất thường và báo cáo mức tiêu thụ điện hằng tháng.</w:t>
      </w:r>
    </w:p>
    <w:p>
      <w:pPr>
        <w:pStyle w:val="Heading1"/>
      </w:pPr>
      <w:r>
        <w:t xml:space="preserve">4. Yêu cầu phi chức năng</w:t>
      </w:r>
    </w:p>
    <w:p>
      <w:pPr>
        <w:pStyle w:val="Heading2"/>
      </w:pPr>
      <w:r>
        <w:t xml:space="preserve">4.1 Hiệu năng</w:t>
      </w:r>
    </w:p>
    <w:p>
      <w:pPr>
        <w:spacing w:after="120" w:line="300"/>
      </w:pPr>
      <w:r>
        <w:rPr>
          <w:rFonts w:ascii="Arial" w:cs="Arial" w:eastAsia="Arial" w:hAnsi="Arial"/>
          <w:sz w:val="22"/>
          <w:szCs w:val="22"/>
        </w:rPr>
        <w:t xml:space="preserve">Cập nhật giá đấu trong tối đa 2 giây; hỗ trợ tối thiểu 1.000 người dùng đồng thời mỗi phiên.</w:t>
      </w:r>
    </w:p>
    <w:p>
      <w:pPr>
        <w:pStyle w:val="Heading2"/>
      </w:pPr>
      <w:r>
        <w:t xml:space="preserve">4.2 Bảo mật</w:t>
      </w:r>
    </w:p>
    <w:p>
      <w:pPr>
        <w:pStyle w:val="ListParagraph"/>
        <w:numPr>
          <w:ilvl w:val="0"/>
          <w:numId w:val="2"/>
        </w:numPr>
        <w:spacing w:after="80"/>
      </w:pPr>
      <w:r>
        <w:rPr>
          <w:rFonts w:ascii="Arial" w:cs="Arial" w:eastAsia="Arial" w:hAnsi="Arial"/>
          <w:sz w:val="22"/>
          <w:szCs w:val="22"/>
        </w:rPr>
        <w:t xml:space="preserve">Mã hóa dữ liệu truyền tải bằng TLS.</w:t>
      </w:r>
    </w:p>
    <w:p>
      <w:pPr>
        <w:pStyle w:val="ListParagraph"/>
        <w:numPr>
          <w:ilvl w:val="0"/>
          <w:numId w:val="2"/>
        </w:numPr>
        <w:spacing w:after="80"/>
      </w:pPr>
      <w:r>
        <w:rPr>
          <w:rFonts w:ascii="Arial" w:cs="Arial" w:eastAsia="Arial" w:hAnsi="Arial"/>
          <w:sz w:val="22"/>
          <w:szCs w:val="22"/>
        </w:rPr>
        <w:t xml:space="preserve">Phân quyền theo vai trò; lưu nhật ký mọi lượt trả giá.</w:t>
      </w:r>
    </w:p>
    <w:p>
      <w:pPr>
        <w:pStyle w:val="ListParagraph"/>
        <w:numPr>
          <w:ilvl w:val="0"/>
          <w:numId w:val="2"/>
        </w:numPr>
        <w:spacing w:after="80"/>
      </w:pPr>
      <w:r>
        <w:rPr>
          <w:rFonts w:ascii="Arial" w:cs="Arial" w:eastAsia="Arial" w:hAnsi="Arial"/>
          <w:sz w:val="22"/>
          <w:szCs w:val="22"/>
        </w:rPr>
        <w:t xml:space="preserve">Xác thực hai lớp cho thao tác khóa cửa và thanh toán.</w:t>
      </w:r>
    </w:p>
    <w:p>
      <w:pPr>
        <w:pStyle w:val="Heading2"/>
      </w:pPr>
      <w:r>
        <w:t xml:space="preserve">4.3 Độ tin cậy và khả dụng</w:t>
      </w:r>
    </w:p>
    <w:p>
      <w:pPr>
        <w:spacing w:after="120" w:line="300"/>
      </w:pPr>
      <w:r>
        <w:rPr>
          <w:rFonts w:ascii="Arial" w:cs="Arial" w:eastAsia="Arial" w:hAnsi="Arial"/>
          <w:sz w:val="22"/>
          <w:szCs w:val="22"/>
        </w:rPr>
        <w:t xml:space="preserve">Khả dụng tối thiểu 99,5% mỗi tháng; sao lưu dữ liệu hằng ngày.</w:t>
      </w:r>
    </w:p>
    <w:p>
      <w:pPr>
        <w:pStyle w:val="Heading2"/>
      </w:pPr>
      <w:r>
        <w:t xml:space="preserve">4.4 Khả năng sử dụng</w:t>
      </w:r>
    </w:p>
    <w:p>
      <w:pPr>
        <w:spacing w:after="120" w:line="300"/>
      </w:pPr>
      <w:r>
        <w:rPr>
          <w:rFonts w:ascii="Arial" w:cs="Arial" w:eastAsia="Arial" w:hAnsi="Arial"/>
          <w:sz w:val="22"/>
          <w:szCs w:val="22"/>
        </w:rPr>
        <w:t xml:space="preserve">Giao diện tiếng Việt, rõ ràng; người dùng mới đặt giá được trong tối đa 3 thao tác từ trang chi tiết.</w:t>
      </w:r>
    </w:p>
    <w:p>
      <w:pPr>
        <w:pStyle w:val="Heading1"/>
      </w:pPr>
      <w:r>
        <w:t xml:space="preserve">5. Yêu cầu giao diện</w:t>
      </w:r>
    </w:p>
    <w:p>
      <w:pPr>
        <w:pStyle w:val="Heading2"/>
      </w:pPr>
      <w:r>
        <w:t xml:space="preserve">5.1 Giao diện người dùng</w:t>
      </w:r>
    </w:p>
    <w:p>
      <w:pPr>
        <w:spacing w:after="120" w:line="300"/>
      </w:pPr>
      <w:r>
        <w:rPr>
          <w:rFonts w:ascii="Arial" w:cs="Arial" w:eastAsia="Arial" w:hAnsi="Arial"/>
          <w:sz w:val="22"/>
          <w:szCs w:val="22"/>
        </w:rPr>
        <w:t xml:space="preserve">Màu chủ đạo xanh lá và xanh navy, nhiều khoảng trắng, nút hành động nổi bật; phiên đấu giá hiển thị đồng hồ đếm ngược và giá hiện tại ở vị trí dễ thấy nhất.</w:t>
      </w:r>
    </w:p>
    <w:p>
      <w:pPr>
        <w:pStyle w:val="Heading2"/>
      </w:pPr>
      <w:r>
        <w:t xml:space="preserve">5.2 Giao diện phần cứng và phần mềm</w:t>
      </w:r>
    </w:p>
    <w:p>
      <w:pPr>
        <w:spacing w:after="120" w:line="300"/>
      </w:pPr>
      <w:r>
        <w:rPr>
          <w:rFonts w:ascii="Arial" w:cs="Arial" w:eastAsia="Arial" w:hAnsi="Arial"/>
          <w:sz w:val="22"/>
          <w:szCs w:val="22"/>
        </w:rPr>
        <w:t xml:space="preserve">Kết nối thiết bị thông qua Wi-Fi và giao thức IoT chuẩn; cổng thanh toán và dịch vụ eKYC kết nối qua API.</w:t>
      </w:r>
    </w:p>
    <w:p>
      <w:pPr>
        <w:pStyle w:val="Heading1"/>
      </w:pPr>
      <w:r>
        <w:t xml:space="preserve">6. Phụ lục</w:t>
      </w:r>
    </w:p>
    <w:p>
      <w:pPr>
        <w:pStyle w:val="Heading2"/>
      </w:pPr>
      <w:r>
        <w:t xml:space="preserve">6.1 Ma trận truy vết yêu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378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Yêu cầu liên quan</w:t>
            </w:r>
          </w:p>
        </w:tc>
        <w:tc>
          <w:tcPr>
            <w:tcW w:type="dxa" w:w="3780"/>
            <w:tcBorders>
              <w:top w:val="single" w:color="BFBFBF" w:sz="4"/>
              <w:left w:val="single" w:color="BFBFBF" w:sz="4"/>
              <w:bottom w:val="single" w:color="BFBFBF" w:sz="4"/>
              <w:right w:val="single" w:color="BFBFBF" w:sz="4"/>
            </w:tcBorders>
            <w:shd w:fill="1F7A4D" w:color="auto" w:val="clear"/>
            <w:tcMar>
              <w:top w:type="dxa" w:w="80"/>
              <w:left w:type="dxa" w:w="120"/>
              <w:bottom w:type="dxa" w:w="80"/>
              <w:right w:type="dxa" w:w="120"/>
            </w:tcMar>
          </w:tcPr>
          <w:p>
            <w:r>
              <w:rPr>
                <w:rFonts w:ascii="Arial" w:cs="Arial" w:eastAsia="Arial" w:hAnsi="Arial"/>
                <w:b/>
                <w:bCs/>
                <w:color w:val="FFFFFF"/>
                <w:sz w:val="20"/>
                <w:szCs w:val="20"/>
              </w:rPr>
              <w:t xml:space="preserve">Sản phẩm bàn giao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Đấu giá trực tuyến</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FR-05, FR-06, FR-07</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SRS, giao diện ứng dụng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Chiết khấu và giá thuê</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FR-08</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Sheet DanhSach (Excel)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Hoa hồng môi giới</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FR-09</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Sheet BangMoiGioi (Excel)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Gọi vốn</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Toàn bộ</w:t>
            </w:r>
          </w:p>
        </w:tc>
        <w:tc>
          <w:tcPr>
            <w:tcW w:type="dxa" w:w="37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Slide Pitch Deck</w:t>
            </w:r>
          </w:p>
        </w:tc>
      </w:tr>
    </w:tbl>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Smart-Home – SRS v1.0 – 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4305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7A4D"/>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Smart-Home</dc:title>
  <dc:creator>Smart-Home</dc:creator>
  <cp:lastModifiedBy>Un-named</cp:lastModifiedBy>
  <cp:revision>1</cp:revision>
  <dcterms:created xsi:type="dcterms:W3CDTF">2026-10-21T08:38:35.819Z</dcterms:created>
  <dcterms:modified xsi:type="dcterms:W3CDTF">2026-10-21T08:38:35.819Z</dcterms:modified>
</cp:coreProperties>
</file>

<file path=docProps/custom.xml><?xml version="1.0" encoding="utf-8"?>
<Properties xmlns="http://schemas.openxmlformats.org/officeDocument/2006/custom-properties" xmlns:vt="http://schemas.openxmlformats.org/officeDocument/2006/docPropsVTypes"/>
</file>