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0300B844" w:rsidR="00DC3D8B" w:rsidRPr="002655A5" w:rsidRDefault="00A05ED0" w:rsidP="002624D5">
      <w:pPr>
        <w:spacing w:after="0" w:line="259" w:lineRule="auto"/>
        <w:ind w:left="708" w:hanging="708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2624D5">
        <w:rPr>
          <w:rFonts w:asciiTheme="minorHAnsi" w:hAnsiTheme="minorHAnsi" w:cstheme="minorHAnsi"/>
          <w:b/>
        </w:rPr>
        <w:t>DM_BA_88A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71849F95" w14:textId="0118744E" w:rsidR="00AF0739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88986" w:history="1">
            <w:r w:rsidR="00AF0739" w:rsidRPr="00876AB3">
              <w:rPr>
                <w:rStyle w:val="Hipervnculo"/>
                <w:bCs/>
                <w:noProof/>
              </w:rPr>
              <w:t>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Control de cambios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2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07EB068D" w14:textId="7FD367D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7" w:history="1">
            <w:r w:rsidR="00AF0739" w:rsidRPr="00876AB3">
              <w:rPr>
                <w:rStyle w:val="Hipervnculo"/>
                <w:bCs/>
                <w:noProof/>
              </w:rPr>
              <w:t>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5E670698" w14:textId="7D9F1AF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8" w:history="1">
            <w:r w:rsidR="00AF0739" w:rsidRPr="00876AB3">
              <w:rPr>
                <w:rStyle w:val="Hipervnculo"/>
                <w:bCs/>
                <w:noProof/>
              </w:rPr>
              <w:t>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_Toc157088988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174D7FA" w14:textId="2C6D2253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9" w:history="1">
            <w:r w:rsidR="00AF0739" w:rsidRPr="00876AB3">
              <w:rPr>
                <w:rStyle w:val="Hipervnculo"/>
                <w:bCs/>
                <w:noProof/>
              </w:rPr>
              <w:t>4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_Toc157088989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A8E54BB" w14:textId="54C29B25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0" w:history="1">
            <w:r w:rsidR="00AF0739" w:rsidRPr="00876AB3">
              <w:rPr>
                <w:rStyle w:val="Hipervnculo"/>
                <w:bCs/>
                <w:noProof/>
              </w:rPr>
              <w:t>5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_Toc157088990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1556BA3" w14:textId="0714C994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1" w:history="1">
            <w:r w:rsidR="00AF0739" w:rsidRPr="00876AB3">
              <w:rPr>
                <w:rStyle w:val="Hipervnculo"/>
                <w:bCs/>
                <w:noProof/>
              </w:rPr>
              <w:t>6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_Toc157088991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0F4705" w14:textId="00C5237F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2" w:history="1">
            <w:r w:rsidR="00AF0739" w:rsidRPr="00876AB3">
              <w:rPr>
                <w:rStyle w:val="Hipervnculo"/>
                <w:bCs/>
                <w:noProof/>
              </w:rPr>
              <w:t>7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Imágenes de la Interfaz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_Toc157088992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6247FED" w14:textId="6820A6A7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3" w:history="1">
            <w:r w:rsidR="00AF0739" w:rsidRPr="00876AB3">
              <w:rPr>
                <w:rStyle w:val="Hipervnculo"/>
                <w:bCs/>
                <w:noProof/>
              </w:rPr>
              <w:t>7.1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_Toc157088993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214CA3B5" w14:textId="6E8E1CE3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4" w:history="1">
            <w:r w:rsidR="00AF0739" w:rsidRPr="00876AB3">
              <w:rPr>
                <w:rStyle w:val="Hipervnculo"/>
                <w:bCs/>
                <w:noProof/>
              </w:rPr>
              <w:t>7.2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Conexión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_Toc157088994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7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14310CDB" w14:textId="0EEF75FB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5" w:history="1">
            <w:r w:rsidR="00AF0739" w:rsidRPr="00876AB3">
              <w:rPr>
                <w:rStyle w:val="Hipervnculo"/>
                <w:bCs/>
                <w:noProof/>
              </w:rPr>
              <w:t>7.3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Parametrización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_Toc157088995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8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8C6E694" w14:textId="629EC85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6" w:history="1">
            <w:r w:rsidR="00AF0739" w:rsidRPr="00876AB3">
              <w:rPr>
                <w:rStyle w:val="Hipervnculo"/>
                <w:bCs/>
                <w:noProof/>
              </w:rPr>
              <w:t>8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JSON de Envío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41889E5F" w14:textId="4D1DE3BC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7" w:history="1">
            <w:r w:rsidR="00AF0739" w:rsidRPr="00876AB3">
              <w:rPr>
                <w:rStyle w:val="Hipervnculo"/>
                <w:bCs/>
                <w:noProof/>
              </w:rPr>
              <w:t>9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noProof/>
              </w:rPr>
              <w:t>Recomendaciones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D20444" w14:textId="31307DDA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88986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789EC78D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18612F" w:rsidRPr="002655A5">
              <w:rPr>
                <w:rFonts w:asciiTheme="minorHAnsi" w:hAnsiTheme="minorHAnsi" w:cstheme="minorHAnsi"/>
              </w:rPr>
              <w:t>14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18612F" w:rsidRPr="002655A5">
              <w:rPr>
                <w:rFonts w:asciiTheme="minorHAnsi" w:hAnsiTheme="minorHAnsi" w:cstheme="minorHAnsi"/>
              </w:rPr>
              <w:t>10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BC2305" w:rsidRPr="002655A5">
              <w:rPr>
                <w:rFonts w:asciiTheme="minorHAnsi" w:hAnsiTheme="minorHAnsi" w:cstheme="minorHAnsi"/>
              </w:rPr>
              <w:t>3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0B74C14B" w:rsidR="00E01DEF" w:rsidRPr="002655A5" w:rsidRDefault="002624D5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624D5">
              <w:rPr>
                <w:rFonts w:asciiTheme="minorHAnsi" w:hAnsiTheme="minorHAnsi" w:cstheme="minorHAnsi"/>
              </w:rPr>
              <w:t>SOP-15944, Nueva interfaz de comunicación [BA-88A] para Live LIS</w:t>
            </w:r>
          </w:p>
        </w:tc>
      </w:tr>
      <w:tr w:rsidR="00E42C97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5885" w14:textId="77777777" w:rsidR="00E42C97" w:rsidRPr="002655A5" w:rsidRDefault="00E42C97" w:rsidP="00E42C97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14/10/2023</w:t>
            </w:r>
          </w:p>
          <w:p w14:paraId="63860E5C" w14:textId="300DE649" w:rsidR="00E42C97" w:rsidRPr="002655A5" w:rsidRDefault="00E42C97" w:rsidP="00E42C97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>v1.0.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09097F82" w:rsidR="00E42C97" w:rsidRPr="002655A5" w:rsidRDefault="00E42C97" w:rsidP="00E42C9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624D5">
              <w:rPr>
                <w:rFonts w:asciiTheme="minorHAnsi" w:hAnsiTheme="minorHAnsi" w:cstheme="minorHAnsi"/>
              </w:rPr>
              <w:t>SOP-15944, Nueva interfaz de comunicación [BA-88A] para Live LIS</w:t>
            </w:r>
            <w:r>
              <w:rPr>
                <w:rFonts w:asciiTheme="minorHAnsi" w:hAnsiTheme="minorHAnsi" w:cstheme="minorHAnsi"/>
              </w:rPr>
              <w:t xml:space="preserve"> ajuste token</w:t>
            </w: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88987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5167E3B2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2624D5">
        <w:rPr>
          <w:rFonts w:asciiTheme="minorHAnsi" w:hAnsiTheme="minorHAnsi" w:cstheme="minorHAnsi"/>
        </w:rPr>
        <w:t>DM_BA_88A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88988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2655A5">
        <w:rPr>
          <w:rFonts w:asciiTheme="minorHAnsi" w:eastAsia="Segoe UI" w:hAnsiTheme="minorHAnsi" w:cstheme="minorHAnsi"/>
        </w:rPr>
        <w:t>Win</w:t>
      </w:r>
      <w:proofErr w:type="spellEnd"/>
      <w:r w:rsidRPr="002655A5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2655A5">
        <w:rPr>
          <w:rFonts w:asciiTheme="minorHAnsi" w:eastAsia="Segoe UI" w:hAnsiTheme="minorHAnsi" w:cstheme="minorHAnsi"/>
        </w:rPr>
        <w:t>pcs</w:t>
      </w:r>
      <w:proofErr w:type="spellEnd"/>
      <w:r w:rsidR="00A05ED0" w:rsidRPr="002655A5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88989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530BF291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2624D5">
        <w:rPr>
          <w:rFonts w:asciiTheme="minorHAnsi" w:hAnsiTheme="minorHAnsi" w:cstheme="minorHAnsi"/>
        </w:rPr>
        <w:t>DM_BA_88A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7529D0EB">
            <wp:extent cx="3249095" cy="2916000"/>
            <wp:effectExtent l="0" t="0" r="889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09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57088990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2C46248A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2624D5">
        <w:rPr>
          <w:rFonts w:asciiTheme="minorHAnsi" w:hAnsiTheme="minorHAnsi" w:cstheme="minorHAnsi"/>
        </w:rPr>
        <w:t>DM_BA_88A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57088991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5877EC79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r w:rsidR="002624D5">
        <w:rPr>
          <w:rFonts w:asciiTheme="minorHAnsi" w:hAnsiTheme="minorHAnsi" w:cstheme="minorHAnsi"/>
        </w:rPr>
        <w:t>DM_BA_88A</w:t>
      </w:r>
      <w:r w:rsidR="00F929CE" w:rsidRPr="002655A5">
        <w:rPr>
          <w:rFonts w:asciiTheme="minorHAnsi" w:hAnsiTheme="minorHAnsi" w:cstheme="minorHAnsi"/>
          <w:b/>
        </w:rPr>
        <w:t>.exe.config</w:t>
      </w:r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1128A476">
            <wp:extent cx="5958840" cy="1745615"/>
            <wp:effectExtent l="19050" t="19050" r="22860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729EE847" w:rsidR="00CD47EE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59338E3E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CD47EE">
        <w:rPr>
          <w:rFonts w:asciiTheme="minorHAnsi" w:hAnsiTheme="minorHAnsi" w:cstheme="minorHAnsi"/>
          <w:b/>
          <w:bCs/>
        </w:rPr>
        <w:t>3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02189213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5541F07D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4C26942B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CD47EE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2389B7BC" w14:textId="2FED1685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18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5DB3DF9F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6C5AF6C9" w14:textId="0E3E944B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0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51E34C38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1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67A5A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 w:rsidR="00CD47EE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  <w:r w:rsidR="00CD47EE">
        <w:rPr>
          <w:rFonts w:asciiTheme="minorHAnsi" w:hAnsiTheme="minorHAnsi" w:cstheme="minorHAnsi"/>
          <w:bCs/>
        </w:rPr>
        <w:t xml:space="preserve"> Solo debe agregarse el </w:t>
      </w:r>
      <w:r w:rsidR="005B4AB7">
        <w:rPr>
          <w:rFonts w:asciiTheme="minorHAnsi" w:hAnsiTheme="minorHAnsi" w:cstheme="minorHAnsi"/>
          <w:bCs/>
        </w:rPr>
        <w:t>recurso</w:t>
      </w:r>
      <w:r w:rsidR="00CD47EE">
        <w:rPr>
          <w:rFonts w:asciiTheme="minorHAnsi" w:hAnsiTheme="minorHAnsi" w:cstheme="minorHAnsi"/>
          <w:bCs/>
        </w:rPr>
        <w:t xml:space="preserve"> que obtiene el token</w:t>
      </w:r>
      <w:r w:rsidR="005B4AB7">
        <w:rPr>
          <w:rFonts w:asciiTheme="minorHAnsi" w:hAnsiTheme="minorHAnsi" w:cstheme="minorHAnsi"/>
          <w:bCs/>
        </w:rPr>
        <w:t>, tal como se muestra en la imagen</w:t>
      </w:r>
      <w:r w:rsidR="00CD47EE">
        <w:rPr>
          <w:rFonts w:asciiTheme="minorHAnsi" w:hAnsiTheme="minorHAnsi" w:cstheme="minorHAnsi"/>
          <w:bCs/>
        </w:rPr>
        <w:t xml:space="preserve">. </w:t>
      </w:r>
    </w:p>
    <w:p w14:paraId="0576DD53" w14:textId="70406CE8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 w:rsidR="005B4AB7"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00257697" w14:textId="10DC0B3D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 w:rsidR="00CD47EE"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22C516C4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57088992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2624D5">
        <w:rPr>
          <w:rFonts w:asciiTheme="minorHAnsi" w:hAnsiTheme="minorHAnsi" w:cstheme="minorHAnsi"/>
          <w:sz w:val="22"/>
        </w:rPr>
        <w:t>DM_BA_88A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57088993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4EABF865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2624D5">
        <w:rPr>
          <w:rFonts w:asciiTheme="minorHAnsi" w:hAnsiTheme="minorHAnsi" w:cstheme="minorHAnsi"/>
        </w:rPr>
        <w:t>DM_BA_88A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526E7264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12A4E701" wp14:editId="750EC37C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8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33B9AC2B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60A32220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57088994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2624D5">
        <w:rPr>
          <w:rFonts w:asciiTheme="minorHAnsi" w:hAnsiTheme="minorHAnsi" w:cstheme="minorHAnsi"/>
          <w:sz w:val="22"/>
        </w:rPr>
        <w:t>DM_BA_88A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17F882AC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proofErr w:type="spellStart"/>
      <w:r w:rsidR="00E50114" w:rsidRPr="002655A5">
        <w:rPr>
          <w:rFonts w:asciiTheme="minorHAnsi" w:eastAsia="Times New Roman" w:hAnsiTheme="minorHAnsi" w:cstheme="minorHAnsi"/>
          <w:color w:val="auto"/>
        </w:rPr>
        <w:t>header</w:t>
      </w:r>
      <w:proofErr w:type="spell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proofErr w:type="spell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</w:t>
      </w:r>
      <w:proofErr w:type="gramStart"/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al </w:t>
      </w:r>
      <w:proofErr w:type="spellStart"/>
      <w:r w:rsidR="00BA34F0" w:rsidRPr="002655A5">
        <w:rPr>
          <w:rFonts w:asciiTheme="minorHAnsi" w:eastAsia="Times New Roman" w:hAnsiTheme="minorHAnsi" w:cstheme="minorHAnsi"/>
          <w:color w:val="auto"/>
        </w:rPr>
        <w:t>password</w:t>
      </w:r>
      <w:proofErr w:type="spellEnd"/>
      <w:proofErr w:type="gramEnd"/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proofErr w:type="gram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proofErr w:type="spellEnd"/>
      <w:proofErr w:type="gram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3AFE4EA7" w14:textId="4093A31B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88995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2624D5">
        <w:rPr>
          <w:rFonts w:asciiTheme="minorHAnsi" w:hAnsiTheme="minorHAnsi" w:cstheme="minorHAnsi"/>
          <w:sz w:val="22"/>
        </w:rPr>
        <w:t>DM_BA_88A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4C6D4B8F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1" w:name="_Toc157088996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1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sampleNumber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analyte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medicalDevice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"prueba </w:t>
      </w:r>
      <w:proofErr w:type="spellStart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yx</w:t>
      </w:r>
      <w:proofErr w:type="spellEnd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result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2" w:name="_Toc157088997"/>
      <w:r>
        <w:t>Recomendaciones</w:t>
      </w:r>
      <w:bookmarkEnd w:id="12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</w:t>
      </w:r>
      <w:proofErr w:type="gramStart"/>
      <w:r>
        <w:t>a</w:t>
      </w:r>
      <w:proofErr w:type="gramEnd"/>
      <w:r>
        <w:t xml:space="preserve"> los “recursos” del servicio web, en la variables del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hacemos referencia a que solo debe agregarse parte del </w:t>
      </w:r>
      <w:proofErr w:type="spellStart"/>
      <w:r>
        <w:t>endpoint</w:t>
      </w:r>
      <w:proofErr w:type="spellEnd"/>
      <w:r>
        <w:t xml:space="preserve">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proofErr w:type="spellStart"/>
      <w:r w:rsidRPr="007771C9">
        <w:rPr>
          <w:b/>
          <w:bCs/>
          <w:i/>
          <w:iCs/>
        </w:rPr>
        <w:t>endpoint</w:t>
      </w:r>
      <w:proofErr w:type="spellEnd"/>
      <w:r>
        <w:t xml:space="preserve"> completo para el consumo del servicio que recibe los resultados de los analitos. Sin embargo, en la variable </w:t>
      </w:r>
      <w:proofErr w:type="spellStart"/>
      <w:r>
        <w:rPr>
          <w:b/>
          <w:bCs/>
          <w:i/>
          <w:iCs/>
        </w:rPr>
        <w:t>endPointBase</w:t>
      </w:r>
      <w:proofErr w:type="spellEnd"/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solo debe configurarse lo que está en rojo. Este comportamiento, también aplica para la variable de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t xml:space="preserve">. </w:t>
      </w:r>
    </w:p>
    <w:sectPr w:rsidR="007771C9" w:rsidRPr="007771C9" w:rsidSect="0033140E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BEDA" w14:textId="77777777" w:rsidR="0033140E" w:rsidRDefault="0033140E">
      <w:pPr>
        <w:spacing w:after="0" w:line="240" w:lineRule="auto"/>
      </w:pPr>
      <w:r>
        <w:separator/>
      </w:r>
    </w:p>
  </w:endnote>
  <w:endnote w:type="continuationSeparator" w:id="0">
    <w:p w14:paraId="35020834" w14:textId="77777777" w:rsidR="0033140E" w:rsidRDefault="0033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7B8A" w14:textId="77777777" w:rsidR="0033140E" w:rsidRDefault="0033140E">
      <w:pPr>
        <w:spacing w:after="0" w:line="240" w:lineRule="auto"/>
      </w:pPr>
      <w:r>
        <w:separator/>
      </w:r>
    </w:p>
  </w:footnote>
  <w:footnote w:type="continuationSeparator" w:id="0">
    <w:p w14:paraId="0B0FE238" w14:textId="77777777" w:rsidR="0033140E" w:rsidRDefault="0033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5"/>
  </w:num>
  <w:num w:numId="9" w16cid:durableId="718937280">
    <w:abstractNumId w:val="28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6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7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9"/>
  </w:num>
  <w:num w:numId="30" w16cid:durableId="1792937049">
    <w:abstractNumId w:val="24"/>
  </w:num>
  <w:num w:numId="31" w16cid:durableId="135931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3EA2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4D5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3140E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2C97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Edward Alexander  Arroyave Agudelo</cp:lastModifiedBy>
  <cp:revision>37</cp:revision>
  <cp:lastPrinted>2023-10-27T22:00:00Z</cp:lastPrinted>
  <dcterms:created xsi:type="dcterms:W3CDTF">2023-10-24T22:09:00Z</dcterms:created>
  <dcterms:modified xsi:type="dcterms:W3CDTF">2024-01-30T15:31:00Z</dcterms:modified>
</cp:coreProperties>
</file>