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jc w:val="center"/>
            </w:pPr>
            <w:r>
              <w:rPr>
                <w:rFonts w:ascii="Arial" w:cs="Arial" w:eastAsia="Arial" w:hAnsi="Arial"/>
                <w:b/>
                <w:bCs/>
                <w:color w:val="FFFFFF"/>
                <w:spacing w:val="60"/>
                <w:sz w:val="28"/>
                <w:szCs w:val="28"/>
              </w:rPr>
              <w:t xml:space="preserve">EPIC WILLOW — FUNCTIONAL SPECIFICATION</w:t>
            </w:r>
          </w:p>
          <w:p>
            <w:pPr>
              <w:spacing w:after="60"/>
              <w:jc w:val="center"/>
            </w:pPr>
            <w:r>
              <w:rPr>
                <w:rFonts w:ascii="Arial" w:cs="Arial" w:eastAsia="Arial" w:hAnsi="Arial"/>
                <w:color w:val="B8C8DC"/>
                <w:sz w:val="20"/>
                <w:szCs w:val="20"/>
              </w:rPr>
              <w:t xml:space="preserve">Pharmacogenomics Clinical Decision Support  │  Oncology Medication Safety</w:t>
            </w:r>
          </w:p>
          <w:p>
            <w:pPr>
              <w:spacing w:after="0"/>
              <w:jc w:val="center"/>
            </w:pPr>
            <w:r>
              <w:rPr>
                <w:rFonts w:ascii="Arial" w:cs="Arial" w:eastAsia="Arial" w:hAnsi="Arial"/>
                <w:color w:val="C8D8E8"/>
                <w:sz w:val="18"/>
                <w:szCs w:val="18"/>
              </w:rPr>
              <w:t xml:space="preserve">Document ID: FS-PGX-003  │  Version: 1.0  │  Status: Draft  │  April 2026</w:t>
            </w:r>
          </w:p>
        </w:tc>
      </w:tr>
    </w:tbl>
    <w:p>
      <w:pPr>
        <w:spacing w:after="120" w:before="60"/>
      </w:pPr>
      <w:r>
        <w:t xml:space="preserve"/>
      </w:r>
    </w:p>
    <w:p>
      <w:pPr>
        <w:pBdr>
          <w:bottom w:val="single" w:color="1B3A5C" w:sz="10" w:space="3"/>
        </w:pBdr>
        <w:spacing w:after="80" w:before="220"/>
      </w:pPr>
      <w:r>
        <w:rPr>
          <w:rFonts w:ascii="Arial" w:cs="Arial" w:eastAsia="Arial" w:hAnsi="Arial"/>
          <w:b/>
          <w:bCs/>
          <w:color w:val="1B3A5C"/>
          <w:spacing w:val="30"/>
          <w:sz w:val="22"/>
          <w:szCs w:val="22"/>
        </w:rPr>
        <w:t xml:space="preserve">1. Document Information</w:t>
      </w:r>
    </w:p>
    <w:p>
      <w:pPr>
        <w:spacing w:after="80"/>
      </w:pPr>
      <w:r>
        <w:rPr>
          <w:rFonts w:ascii="Arial" w:cs="Arial" w:eastAsia="Arial" w:hAnsi="Arial"/>
          <w:b/>
          <w:bCs/>
          <w:color w:val="1B3A5C"/>
          <w:sz w:val="20"/>
          <w:szCs w:val="20"/>
        </w:rPr>
        <w:t xml:space="preserve">Specification ID: </w:t>
      </w:r>
      <w:r>
        <w:rPr>
          <w:rFonts w:ascii="Arial" w:cs="Arial" w:eastAsia="Arial" w:hAnsi="Arial"/>
          <w:color w:val="4B5563"/>
          <w:sz w:val="20"/>
          <w:szCs w:val="20"/>
        </w:rPr>
        <w:t xml:space="preserve">FS-PGX-003</w:t>
      </w:r>
    </w:p>
    <w:p>
      <w:pPr>
        <w:spacing w:after="80"/>
      </w:pPr>
      <w:r>
        <w:rPr>
          <w:rFonts w:ascii="Arial" w:cs="Arial" w:eastAsia="Arial" w:hAnsi="Arial"/>
          <w:b/>
          <w:bCs/>
          <w:color w:val="1B3A5C"/>
          <w:sz w:val="20"/>
          <w:szCs w:val="20"/>
        </w:rPr>
        <w:t xml:space="preserve">Title: </w:t>
      </w:r>
      <w:r>
        <w:rPr>
          <w:rFonts w:ascii="Arial" w:cs="Arial" w:eastAsia="Arial" w:hAnsi="Arial"/>
          <w:color w:val="4B5563"/>
          <w:sz w:val="20"/>
          <w:szCs w:val="20"/>
        </w:rPr>
        <w:t xml:space="preserve">TPMT Poor Metabolizer — Mercaptopurine Hard Stop with Mandatory Dose Reduction</w:t>
      </w:r>
    </w:p>
    <w:p>
      <w:pPr>
        <w:spacing w:after="80"/>
      </w:pPr>
      <w:r>
        <w:rPr>
          <w:rFonts w:ascii="Arial" w:cs="Arial" w:eastAsia="Arial" w:hAnsi="Arial"/>
          <w:b/>
          <w:bCs/>
          <w:color w:val="1B3A5C"/>
          <w:sz w:val="20"/>
          <w:szCs w:val="20"/>
        </w:rPr>
        <w:t xml:space="preserve">Epic Module: </w:t>
      </w:r>
      <w:r>
        <w:rPr>
          <w:rFonts w:ascii="Arial" w:cs="Arial" w:eastAsia="Arial" w:hAnsi="Arial"/>
          <w:color w:val="4B5563"/>
          <w:sz w:val="20"/>
          <w:szCs w:val="20"/>
        </w:rPr>
        <w:t xml:space="preserve">Willow Inpatient / Beacon Oncology</w:t>
      </w:r>
    </w:p>
    <w:p>
      <w:pPr>
        <w:spacing w:after="80"/>
      </w:pPr>
      <w:r>
        <w:rPr>
          <w:rFonts w:ascii="Arial" w:cs="Arial" w:eastAsia="Arial" w:hAnsi="Arial"/>
          <w:b/>
          <w:bCs/>
          <w:color w:val="1B3A5C"/>
          <w:sz w:val="20"/>
          <w:szCs w:val="20"/>
        </w:rPr>
        <w:t xml:space="preserve">Alert Type: </w:t>
      </w:r>
      <w:r>
        <w:rPr>
          <w:rFonts w:ascii="Arial" w:cs="Arial" w:eastAsia="Arial" w:hAnsi="Arial"/>
          <w:color w:val="4B5563"/>
          <w:sz w:val="20"/>
          <w:szCs w:val="20"/>
        </w:rPr>
        <w:t xml:space="preserve">Hard Stop — Override permitted with oncology pharmacist co-sign and documented dose reduction</w:t>
      </w:r>
    </w:p>
    <w:p>
      <w:pPr>
        <w:spacing w:after="80"/>
      </w:pPr>
      <w:r>
        <w:rPr>
          <w:rFonts w:ascii="Arial" w:cs="Arial" w:eastAsia="Arial" w:hAnsi="Arial"/>
          <w:b/>
          <w:bCs/>
          <w:color w:val="1B3A5C"/>
          <w:sz w:val="20"/>
          <w:szCs w:val="20"/>
        </w:rPr>
        <w:t xml:space="preserve">Author: </w:t>
      </w:r>
      <w:r>
        <w:rPr>
          <w:rFonts w:ascii="Arial" w:cs="Arial" w:eastAsia="Arial" w:hAnsi="Arial"/>
          <w:color w:val="4B5563"/>
          <w:sz w:val="20"/>
          <w:szCs w:val="20"/>
        </w:rPr>
        <w:t xml:space="preserve">Kristina Ankrah, Healthcare IT Analyst</w:t>
      </w:r>
    </w:p>
    <w:p>
      <w:pPr>
        <w:spacing w:after="80"/>
      </w:pPr>
      <w:r>
        <w:rPr>
          <w:rFonts w:ascii="Arial" w:cs="Arial" w:eastAsia="Arial" w:hAnsi="Arial"/>
          <w:b/>
          <w:bCs/>
          <w:color w:val="1B3A5C"/>
          <w:sz w:val="20"/>
          <w:szCs w:val="20"/>
        </w:rPr>
        <w:t xml:space="preserve">Clinical Source: </w:t>
      </w:r>
      <w:r>
        <w:rPr>
          <w:rFonts w:ascii="Arial" w:cs="Arial" w:eastAsia="Arial" w:hAnsi="Arial"/>
          <w:color w:val="4B5563"/>
          <w:sz w:val="20"/>
          <w:szCs w:val="20"/>
        </w:rPr>
        <w:t xml:space="preserve">CPIC Guideline for Thiopurines and TPMT/NUDT15 — Evidence Level A</w:t>
      </w:r>
    </w:p>
    <w:p>
      <w:pPr>
        <w:spacing w:after="80"/>
      </w:pPr>
      <w:r>
        <w:rPr>
          <w:rFonts w:ascii="Arial" w:cs="Arial" w:eastAsia="Arial" w:hAnsi="Arial"/>
          <w:b/>
          <w:bCs/>
          <w:color w:val="1B3A5C"/>
          <w:sz w:val="20"/>
          <w:szCs w:val="20"/>
        </w:rPr>
        <w:t xml:space="preserve">Status: </w:t>
      </w:r>
      <w:r>
        <w:rPr>
          <w:rFonts w:ascii="Arial" w:cs="Arial" w:eastAsia="Arial" w:hAnsi="Arial"/>
          <w:color w:val="4B5563"/>
          <w:sz w:val="20"/>
          <w:szCs w:val="20"/>
        </w:rPr>
        <w:t xml:space="preserve">Draft — Pending clinical and pharmacy review</w:t>
      </w:r>
    </w:p>
    <w:p>
      <w:pPr>
        <w:pBdr>
          <w:bottom w:val="single" w:color="1B3A5C" w:sz="10" w:space="3"/>
        </w:pBdr>
        <w:spacing w:after="80" w:before="220"/>
      </w:pPr>
      <w:r>
        <w:rPr>
          <w:rFonts w:ascii="Arial" w:cs="Arial" w:eastAsia="Arial" w:hAnsi="Arial"/>
          <w:b/>
          <w:bCs/>
          <w:color w:val="1B3A5C"/>
          <w:spacing w:val="30"/>
          <w:sz w:val="22"/>
          <w:szCs w:val="22"/>
        </w:rPr>
        <w:t xml:space="preserve">2. Clinical Background and Purpose</w:t>
      </w:r>
    </w:p>
    <w:p>
      <w:pPr>
        <w:spacing w:after="120"/>
      </w:pPr>
      <w:r>
        <w:rPr>
          <w:rFonts w:ascii="Arial" w:cs="Arial" w:eastAsia="Arial" w:hAnsi="Arial"/>
          <w:color w:val="4B5563"/>
          <w:sz w:val="20"/>
          <w:szCs w:val="20"/>
        </w:rPr>
        <w:t xml:space="preserve">Mercaptopurine (6-MP) is a thiopurine immunosuppressant used in pediatric acute lymphoblastic leukemia (ALL) maintenance therapy and inflammatory bowel disease. It requires the TPMT enzyme for detoxification. Patients who are TPMT Poor Metabolizers cannot metabolize mercaptopurine — standard doses cause life-threatening myelosuppression (bone marrow failure), with white blood cell counts dropping to dangerously low levels.</w:t>
      </w:r>
    </w:p>
    <w:p>
      <w:pPr>
        <w:spacing w:after="120"/>
      </w:pPr>
      <w:r>
        <w:rPr>
          <w:rFonts w:ascii="Arial" w:cs="Arial" w:eastAsia="Arial" w:hAnsi="Arial"/>
          <w:color w:val="4B5563"/>
          <w:sz w:val="20"/>
          <w:szCs w:val="20"/>
        </w:rPr>
        <w:t xml:space="preserve">Unlike the codeine alerts (FS-PGX-001, 002), this alert permits a carefully controlled override — because the drug is sometimes clinically necessary and can be used safely at a dramatically reduced dose (10% of standard). The override requires oncology pharmacist review and documented dose adjustment, making this a co-sign hard stop rather than an absolute block.</w:t>
      </w:r>
    </w:p>
    <w:p>
      <w:pPr>
        <w:spacing w:after="120"/>
      </w:pPr>
      <w:r>
        <w:rPr>
          <w:rFonts w:ascii="Arial" w:cs="Arial" w:eastAsia="Arial" w:hAnsi="Arial"/>
          <w:color w:val="4B5563"/>
          <w:sz w:val="20"/>
          <w:szCs w:val="20"/>
        </w:rPr>
        <w:t xml:space="preserve">DPYD parallel from project framework: both TPMT and DPYD deficiency result in drug accumulation without limit — like Newton's gravitational collapse with no counterbalancing force. The drug concentrates until toxicity results. The only intervention is reducing the substrate load — dose reduction.</w:t>
      </w:r>
    </w:p>
    <w:p>
      <w:pPr>
        <w:pBdr>
          <w:bottom w:val="single" w:color="1B3A5C" w:sz="10" w:space="3"/>
        </w:pBdr>
        <w:spacing w:after="80" w:before="220"/>
      </w:pPr>
      <w:r>
        <w:rPr>
          <w:rFonts w:ascii="Arial" w:cs="Arial" w:eastAsia="Arial" w:hAnsi="Arial"/>
          <w:b/>
          <w:bCs/>
          <w:color w:val="1B3A5C"/>
          <w:spacing w:val="30"/>
          <w:sz w:val="22"/>
          <w:szCs w:val="22"/>
        </w:rPr>
        <w:t xml:space="preserve">3. Alert Trigger Conditions</w:t>
      </w:r>
    </w:p>
    <w:p>
      <w:pPr>
        <w:pStyle w:val="ListParagraph"/>
        <w:numPr>
          <w:ilvl w:val="0"/>
          <w:numId w:val="2"/>
        </w:numPr>
        <w:spacing w:after="60"/>
      </w:pPr>
      <w:r>
        <w:rPr>
          <w:rFonts w:ascii="Arial" w:cs="Arial" w:eastAsia="Arial" w:hAnsi="Arial"/>
          <w:color w:val="4B5563"/>
          <w:sz w:val="20"/>
          <w:szCs w:val="20"/>
        </w:rPr>
        <w:t xml:space="preserve">A mercaptopurine, azathioprine, or thioguanine order is initiated in Willow Inpatient or Beacon Oncology</w:t>
      </w:r>
    </w:p>
    <w:p>
      <w:pPr>
        <w:pStyle w:val="ListParagraph"/>
        <w:numPr>
          <w:ilvl w:val="0"/>
          <w:numId w:val="2"/>
        </w:numPr>
        <w:spacing w:after="60"/>
      </w:pPr>
      <w:r>
        <w:rPr>
          <w:rFonts w:ascii="Arial" w:cs="Arial" w:eastAsia="Arial" w:hAnsi="Arial"/>
          <w:color w:val="4B5563"/>
          <w:sz w:val="20"/>
          <w:szCs w:val="20"/>
        </w:rPr>
        <w:t xml:space="preserve">The patient's discrete genomic data contains a documented TPMT result</w:t>
      </w:r>
    </w:p>
    <w:p>
      <w:pPr>
        <w:pStyle w:val="ListParagraph"/>
        <w:numPr>
          <w:ilvl w:val="0"/>
          <w:numId w:val="2"/>
        </w:numPr>
        <w:spacing w:after="60"/>
      </w:pPr>
      <w:r>
        <w:rPr>
          <w:rFonts w:ascii="Arial" w:cs="Arial" w:eastAsia="Arial" w:hAnsi="Arial"/>
          <w:color w:val="4B5563"/>
          <w:sz w:val="20"/>
          <w:szCs w:val="20"/>
        </w:rPr>
        <w:t xml:space="preserve">The TPMT result maps to Poor Metabolizer phenotype (*3A/*3A, *3A/*3C, *3C/*3C, or equivalent non-functional diplotype)</w:t>
      </w:r>
    </w:p>
    <w:p>
      <w:pPr>
        <w:pStyle w:val="ListParagraph"/>
        <w:numPr>
          <w:ilvl w:val="0"/>
          <w:numId w:val="2"/>
        </w:numPr>
        <w:spacing w:after="60"/>
      </w:pPr>
      <w:r>
        <w:rPr>
          <w:rFonts w:ascii="Arial" w:cs="Arial" w:eastAsia="Arial" w:hAnsi="Arial"/>
          <w:color w:val="4B5563"/>
          <w:sz w:val="20"/>
          <w:szCs w:val="20"/>
        </w:rPr>
        <w:t xml:space="preserve">The order dose exceeds 10% of the standard weight-based dose</w:t>
      </w:r>
    </w:p>
    <w:p>
      <w:pPr>
        <w:pBdr>
          <w:bottom w:val="single" w:color="1B3A5C" w:sz="10" w:space="3"/>
        </w:pBdr>
        <w:spacing w:after="80" w:before="220"/>
      </w:pPr>
      <w:r>
        <w:rPr>
          <w:rFonts w:ascii="Arial" w:cs="Arial" w:eastAsia="Arial" w:hAnsi="Arial"/>
          <w:b/>
          <w:bCs/>
          <w:color w:val="1B3A5C"/>
          <w:spacing w:val="30"/>
          <w:sz w:val="22"/>
          <w:szCs w:val="22"/>
        </w:rPr>
        <w:t xml:space="preserve">4. Alert Display — Simulated Willow CDS Hard Stop</w:t>
      </w:r>
    </w:p>
    <w:p>
      <w:pPr>
        <w:spacing w:after="120" w:before="120"/>
      </w:pPr>
      <w:r>
        <w:t xml:space="preserve"/>
      </w:r>
    </w:p>
    <w:tbl>
      <w:tblPr>
        <w:tblW w:type="dxa" w:w="9360"/>
        <w:tblBorders>
          <w:top w:val="single" w:color="991B1B" w:sz="4"/>
          <w:left w:val="single" w:color="991B1B" w:sz="4"/>
          <w:bottom w:val="single" w:color="991B1B" w:sz="4"/>
          <w:right w:val="single" w:color="991B1B"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20"/>
              <w:left w:type="dxa" w:w="160"/>
              <w:bottom w:type="dxa" w:w="120"/>
              <w:right w:type="dxa" w:w="160"/>
            </w:tcMar>
          </w:tcPr>
          <w:p>
            <w:pPr>
              <w:spacing w:after="60"/>
            </w:pPr>
            <w:r>
              <w:rPr>
                <w:rFonts w:ascii="Arial" w:cs="Arial" w:eastAsia="Arial" w:hAnsi="Arial"/>
                <w:b/>
                <w:bCs/>
                <w:color w:val="991B1B"/>
                <w:sz w:val="22"/>
                <w:szCs w:val="22"/>
              </w:rPr>
              <w:t xml:space="preserve">HARD STOP — Mercaptopurine Order Requires Review — TPMT Poor Metabolizer</w:t>
            </w:r>
          </w:p>
          <w:p>
            <w:pPr>
              <w:spacing w:after="0"/>
            </w:pPr>
            <w:r>
              <w:rPr>
                <w:rFonts w:ascii="Arial" w:cs="Arial" w:eastAsia="Arial" w:hAnsi="Arial"/>
                <w:color w:val="991B1B"/>
                <w:sz w:val="20"/>
                <w:szCs w:val="20"/>
              </w:rPr>
              <w:t xml:space="preserve">Patient genomic data indicates TPMT Poor Metabolizer status (*3A/*3A). Standard mercaptopurine doses will cause life-threatening myelosuppression in this patient. Dose MUST be reduced to 10% of standard weight-based dose. This order requires oncology pharmacist review and co-sign with documented dose adjustment before processing. Do not administer standard dose. Reference: CPIC Guideline for Thiopurines and TPMT/NUDT15 — Level A. Contact oncology pharmacy immediately.</w:t>
            </w:r>
          </w:p>
        </w:tc>
      </w:tr>
    </w:tbl>
    <w:p>
      <w:pPr>
        <w:spacing w:after="80" w:before="120"/>
      </w:pPr>
      <w:r>
        <w:t xml:space="preserve"/>
      </w:r>
    </w:p>
    <w:p>
      <w:pPr>
        <w:spacing w:after="80"/>
      </w:pPr>
      <w:r>
        <w:rPr>
          <w:rFonts w:ascii="Arial" w:cs="Arial" w:eastAsia="Arial" w:hAnsi="Arial"/>
          <w:b/>
          <w:bCs/>
          <w:color w:val="1B3A5C"/>
          <w:sz w:val="20"/>
          <w:szCs w:val="20"/>
        </w:rPr>
        <w:t xml:space="preserve">Override permitted: </w:t>
      </w:r>
      <w:r>
        <w:rPr>
          <w:rFonts w:ascii="Arial" w:cs="Arial" w:eastAsia="Arial" w:hAnsi="Arial"/>
          <w:color w:val="4B5563"/>
          <w:sz w:val="20"/>
          <w:szCs w:val="20"/>
        </w:rPr>
        <w:t xml:space="preserve">Yes — with oncology pharmacist co-sign and documented 90% dose reduction</w:t>
      </w:r>
    </w:p>
    <w:p>
      <w:pPr>
        <w:spacing w:after="80"/>
      </w:pPr>
      <w:r>
        <w:rPr>
          <w:rFonts w:ascii="Arial" w:cs="Arial" w:eastAsia="Arial" w:hAnsi="Arial"/>
          <w:b/>
          <w:bCs/>
          <w:color w:val="1B3A5C"/>
          <w:sz w:val="20"/>
          <w:szCs w:val="20"/>
        </w:rPr>
        <w:t xml:space="preserve">Override requirement: </w:t>
      </w:r>
      <w:r>
        <w:rPr>
          <w:rFonts w:ascii="Arial" w:cs="Arial" w:eastAsia="Arial" w:hAnsi="Arial"/>
          <w:color w:val="4B5563"/>
          <w:sz w:val="20"/>
          <w:szCs w:val="20"/>
        </w:rPr>
        <w:t xml:space="preserve">Pharmacist must document: (1) TPMT PM status acknowledged, (2) dose reduced to 10% of standard, (3) CBC monitoring plan in place</w:t>
      </w:r>
    </w:p>
    <w:p>
      <w:pPr>
        <w:spacing w:after="80"/>
      </w:pPr>
      <w:r>
        <w:rPr>
          <w:rFonts w:ascii="Arial" w:cs="Arial" w:eastAsia="Arial" w:hAnsi="Arial"/>
          <w:b/>
          <w:bCs/>
          <w:color w:val="1B3A5C"/>
          <w:sz w:val="20"/>
          <w:szCs w:val="20"/>
        </w:rPr>
        <w:t xml:space="preserve">Button options: </w:t>
      </w:r>
      <w:r>
        <w:rPr>
          <w:rFonts w:ascii="Arial" w:cs="Arial" w:eastAsia="Arial" w:hAnsi="Arial"/>
          <w:color w:val="4B5563"/>
          <w:sz w:val="20"/>
          <w:szCs w:val="20"/>
        </w:rPr>
        <w:t xml:space="preserve">"Route for Pharmacist Co-sign" (primary) | "Cancel Order" (secondary) | "View CPIC Guideline"</w:t>
      </w:r>
    </w:p>
    <w:p>
      <w:pPr>
        <w:pBdr>
          <w:bottom w:val="single" w:color="1B3A5C" w:sz="10" w:space="3"/>
        </w:pBdr>
        <w:spacing w:after="80" w:before="220"/>
      </w:pPr>
      <w:r>
        <w:rPr>
          <w:rFonts w:ascii="Arial" w:cs="Arial" w:eastAsia="Arial" w:hAnsi="Arial"/>
          <w:b/>
          <w:bCs/>
          <w:color w:val="1B3A5C"/>
          <w:spacing w:val="30"/>
          <w:sz w:val="22"/>
          <w:szCs w:val="22"/>
        </w:rPr>
        <w:t xml:space="preserve">5. Build Requirements</w:t>
      </w:r>
    </w:p>
    <w:p>
      <w:pPr>
        <w:spacing w:after="60" w:before="100"/>
      </w:pPr>
      <w:r>
        <w:rPr>
          <w:rFonts w:ascii="Arial" w:cs="Arial" w:eastAsia="Arial" w:hAnsi="Arial"/>
          <w:b/>
          <w:bCs/>
          <w:color w:val="1B3A5C"/>
          <w:sz w:val="20"/>
          <w:szCs w:val="20"/>
        </w:rPr>
        <w:t xml:space="preserve">5.1  Medication grouper</w:t>
      </w:r>
    </w:p>
    <w:p>
      <w:pPr>
        <w:pStyle w:val="ListParagraph"/>
        <w:numPr>
          <w:ilvl w:val="0"/>
          <w:numId w:val="2"/>
        </w:numPr>
        <w:spacing w:after="60"/>
      </w:pPr>
      <w:r>
        <w:rPr>
          <w:rFonts w:ascii="Arial" w:cs="Arial" w:eastAsia="Arial" w:hAnsi="Arial"/>
          <w:color w:val="4B5563"/>
          <w:sz w:val="20"/>
          <w:szCs w:val="20"/>
        </w:rPr>
        <w:t xml:space="preserve">Create GROUPER-THIOPURINES containing: mercaptopurine (6-MP), azathioprine, thioguanine — all formulations and routes</w:t>
      </w:r>
    </w:p>
    <w:p>
      <w:pPr>
        <w:spacing w:after="60" w:before="100"/>
      </w:pPr>
      <w:r>
        <w:rPr>
          <w:rFonts w:ascii="Arial" w:cs="Arial" w:eastAsia="Arial" w:hAnsi="Arial"/>
          <w:b/>
          <w:bCs/>
          <w:color w:val="1B3A5C"/>
          <w:sz w:val="20"/>
          <w:szCs w:val="20"/>
        </w:rPr>
        <w:t xml:space="preserve">5.2  Genomic result mapping</w:t>
      </w:r>
    </w:p>
    <w:p>
      <w:pPr>
        <w:pStyle w:val="ListParagraph"/>
        <w:numPr>
          <w:ilvl w:val="0"/>
          <w:numId w:val="2"/>
        </w:numPr>
        <w:spacing w:after="60"/>
      </w:pPr>
      <w:r>
        <w:rPr>
          <w:rFonts w:ascii="Arial" w:cs="Arial" w:eastAsia="Arial" w:hAnsi="Arial"/>
          <w:color w:val="4B5563"/>
          <w:sz w:val="20"/>
          <w:szCs w:val="20"/>
        </w:rPr>
        <w:t xml:space="preserve">Map TPMT non-functional alleles to Poor Metabolizer phenotype: *2, *3A, *3B, *3C, *4, *5, *6, *7, *8</w:t>
      </w:r>
    </w:p>
    <w:p>
      <w:pPr>
        <w:pStyle w:val="ListParagraph"/>
        <w:numPr>
          <w:ilvl w:val="0"/>
          <w:numId w:val="2"/>
        </w:numPr>
        <w:spacing w:after="60"/>
      </w:pPr>
      <w:r>
        <w:rPr>
          <w:rFonts w:ascii="Arial" w:cs="Arial" w:eastAsia="Arial" w:hAnsi="Arial"/>
          <w:color w:val="4B5563"/>
          <w:sz w:val="20"/>
          <w:szCs w:val="20"/>
        </w:rPr>
        <w:t xml:space="preserve">Note: NUDT15 also affects thiopurine metabolism — coordinate with clinical pharmacogenomics team on combined TPMT/NUDT15 phenotype mapping</w:t>
      </w:r>
    </w:p>
    <w:p>
      <w:pPr>
        <w:spacing w:after="60" w:before="100"/>
      </w:pPr>
      <w:r>
        <w:rPr>
          <w:rFonts w:ascii="Arial" w:cs="Arial" w:eastAsia="Arial" w:hAnsi="Arial"/>
          <w:b/>
          <w:bCs/>
          <w:color w:val="1B3A5C"/>
          <w:sz w:val="20"/>
          <w:szCs w:val="20"/>
        </w:rPr>
        <w:t xml:space="preserve">5.3  BPA configuration with co-sign workflow</w:t>
      </w:r>
    </w:p>
    <w:p>
      <w:pPr>
        <w:pStyle w:val="ListParagraph"/>
        <w:numPr>
          <w:ilvl w:val="0"/>
          <w:numId w:val="2"/>
        </w:numPr>
        <w:spacing w:after="60"/>
      </w:pPr>
      <w:r>
        <w:rPr>
          <w:rFonts w:ascii="Arial" w:cs="Arial" w:eastAsia="Arial" w:hAnsi="Arial"/>
          <w:color w:val="4B5563"/>
          <w:sz w:val="20"/>
          <w:szCs w:val="20"/>
        </w:rPr>
        <w:t xml:space="preserve">Alert type: Hard Stop with co-sign override pathway</w:t>
      </w:r>
    </w:p>
    <w:p>
      <w:pPr>
        <w:pStyle w:val="ListParagraph"/>
        <w:numPr>
          <w:ilvl w:val="0"/>
          <w:numId w:val="2"/>
        </w:numPr>
        <w:spacing w:after="60"/>
      </w:pPr>
      <w:r>
        <w:rPr>
          <w:rFonts w:ascii="Arial" w:cs="Arial" w:eastAsia="Arial" w:hAnsi="Arial"/>
          <w:color w:val="4B5563"/>
          <w:sz w:val="20"/>
          <w:szCs w:val="20"/>
        </w:rPr>
        <w:t xml:space="preserve">Logic: IF medication IN GROUPER-THIOPURINES AND TPMT phenotype = Poor Metabolizer THEN fire hard stop</w:t>
      </w:r>
    </w:p>
    <w:p>
      <w:pPr>
        <w:pStyle w:val="ListParagraph"/>
        <w:numPr>
          <w:ilvl w:val="0"/>
          <w:numId w:val="2"/>
        </w:numPr>
        <w:spacing w:after="60"/>
      </w:pPr>
      <w:r>
        <w:rPr>
          <w:rFonts w:ascii="Arial" w:cs="Arial" w:eastAsia="Arial" w:hAnsi="Arial"/>
          <w:color w:val="4B5563"/>
          <w:sz w:val="20"/>
          <w:szCs w:val="20"/>
        </w:rPr>
        <w:t xml:space="preserve">Override: Oncology pharmacist co-sign required — standard override reason dropdown insufficient</w:t>
      </w:r>
    </w:p>
    <w:p>
      <w:pPr>
        <w:pStyle w:val="ListParagraph"/>
        <w:numPr>
          <w:ilvl w:val="0"/>
          <w:numId w:val="2"/>
        </w:numPr>
        <w:spacing w:after="60"/>
      </w:pPr>
      <w:r>
        <w:rPr>
          <w:rFonts w:ascii="Arial" w:cs="Arial" w:eastAsia="Arial" w:hAnsi="Arial"/>
          <w:color w:val="4B5563"/>
          <w:sz w:val="20"/>
          <w:szCs w:val="20"/>
        </w:rPr>
        <w:t xml:space="preserve">Dose check: Configure secondary alert if ordered dose exceeds 10% of standard weight-based dose after co-sign</w:t>
      </w:r>
    </w:p>
    <w:p>
      <w:pPr>
        <w:pBdr>
          <w:bottom w:val="single" w:color="1B3A5C" w:sz="10" w:space="3"/>
        </w:pBdr>
        <w:spacing w:after="80" w:before="220"/>
      </w:pPr>
      <w:r>
        <w:rPr>
          <w:rFonts w:ascii="Arial" w:cs="Arial" w:eastAsia="Arial" w:hAnsi="Arial"/>
          <w:b/>
          <w:bCs/>
          <w:color w:val="1B3A5C"/>
          <w:spacing w:val="30"/>
          <w:sz w:val="22"/>
          <w:szCs w:val="22"/>
        </w:rPr>
        <w:t xml:space="preserve">6. Testing Scenarios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Test scenario</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Input / patient state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Expected system behavior</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Result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 standard dose ordered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TPMT *3A/*3A + mercaptopurine 75mg/m2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 co-sign required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 reduced dose ordered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TPMT *3A/*3A + mercaptopurine 7.5mg/m2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 co-sign still required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 pharmacist co-signs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Co-sign completed + dose reduction documented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Order released for administration</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NM patient orders mercaptopurine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TPMT *1/*1 + mercaptopurine standard dose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 alert — order processes normally</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orders azathioprine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TPMT *3A/*3A + azathioprine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 grouper includes azathioprine</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bl>
    <w:p>
      <w:pPr>
        <w:pBdr>
          <w:bottom w:val="single" w:color="1B3A5C" w:sz="10" w:space="3"/>
        </w:pBdr>
        <w:spacing w:after="80" w:before="220"/>
      </w:pPr>
      <w:r>
        <w:rPr>
          <w:rFonts w:ascii="Arial" w:cs="Arial" w:eastAsia="Arial" w:hAnsi="Arial"/>
          <w:b/>
          <w:bCs/>
          <w:color w:val="1B3A5C"/>
          <w:spacing w:val="30"/>
          <w:sz w:val="22"/>
          <w:szCs w:val="22"/>
        </w:rPr>
        <w:t xml:space="preserve">7. Review and Sign-Off</w:t>
      </w:r>
    </w:p>
    <w:p>
      <w:pPr>
        <w:spacing w:after="80"/>
      </w:pPr>
      <w:r>
        <w:rPr>
          <w:rFonts w:ascii="Arial" w:cs="Arial" w:eastAsia="Arial" w:hAnsi="Arial"/>
          <w:b/>
          <w:bCs/>
          <w:color w:val="1B3A5C"/>
          <w:sz w:val="20"/>
          <w:szCs w:val="20"/>
        </w:rPr>
        <w:t xml:space="preserve">Clinical Pharmacy Review: </w:t>
      </w:r>
      <w:r>
        <w:rPr>
          <w:rFonts w:ascii="Arial" w:cs="Arial" w:eastAsia="Arial" w:hAnsi="Arial"/>
          <w:color w:val="4B5563"/>
          <w:sz w:val="20"/>
          <w:szCs w:val="20"/>
        </w:rPr>
        <w:t xml:space="preserve">Pending — Oncology Clinical Pharmacist</w:t>
      </w:r>
    </w:p>
    <w:p>
      <w:pPr>
        <w:spacing w:after="80"/>
      </w:pPr>
      <w:r>
        <w:rPr>
          <w:rFonts w:ascii="Arial" w:cs="Arial" w:eastAsia="Arial" w:hAnsi="Arial"/>
          <w:b/>
          <w:bCs/>
          <w:color w:val="1B3A5C"/>
          <w:sz w:val="20"/>
          <w:szCs w:val="20"/>
        </w:rPr>
        <w:t xml:space="preserve">Oncology Physician Champion: </w:t>
      </w:r>
      <w:r>
        <w:rPr>
          <w:rFonts w:ascii="Arial" w:cs="Arial" w:eastAsia="Arial" w:hAnsi="Arial"/>
          <w:color w:val="4B5563"/>
          <w:sz w:val="20"/>
          <w:szCs w:val="20"/>
        </w:rPr>
        <w:t xml:space="preserve">Pending</w:t>
      </w:r>
    </w:p>
    <w:p>
      <w:pPr>
        <w:spacing w:after="80"/>
      </w:pPr>
      <w:r>
        <w:rPr>
          <w:rFonts w:ascii="Arial" w:cs="Arial" w:eastAsia="Arial" w:hAnsi="Arial"/>
          <w:b/>
          <w:bCs/>
          <w:color w:val="1B3A5C"/>
          <w:sz w:val="20"/>
          <w:szCs w:val="20"/>
        </w:rPr>
        <w:t xml:space="preserve">Epic Analyst Build Sign-off: </w:t>
      </w:r>
      <w:r>
        <w:rPr>
          <w:rFonts w:ascii="Arial" w:cs="Arial" w:eastAsia="Arial" w:hAnsi="Arial"/>
          <w:color w:val="4B5563"/>
          <w:sz w:val="20"/>
          <w:szCs w:val="20"/>
        </w:rPr>
        <w:t xml:space="preserve">Pending</w:t>
      </w:r>
    </w:p>
    <w:p>
      <w:pPr>
        <w:spacing w:after="80"/>
      </w:pPr>
      <w:r>
        <w:rPr>
          <w:rFonts w:ascii="Arial" w:cs="Arial" w:eastAsia="Arial" w:hAnsi="Arial"/>
          <w:b/>
          <w:bCs/>
          <w:color w:val="1B3A5C"/>
          <w:sz w:val="20"/>
          <w:szCs w:val="20"/>
        </w:rPr>
        <w:t xml:space="preserve">Go-Live Approval: </w:t>
      </w:r>
      <w:r>
        <w:rPr>
          <w:rFonts w:ascii="Arial" w:cs="Arial" w:eastAsia="Arial" w:hAnsi="Arial"/>
          <w:color w:val="4B5563"/>
          <w:sz w:val="20"/>
          <w:szCs w:val="20"/>
        </w:rPr>
        <w:t xml:space="preserve">Pending — CMIO</w:t>
      </w:r>
    </w:p>
    <w:p>
      <w:pPr>
        <w:pBdr>
          <w:top w:val="single" w:color="D1D5DB" w:sz="4" w:space="8"/>
        </w:pBdr>
        <w:spacing w:after="0" w:before="200"/>
      </w:pPr>
      <w:r>
        <w:rPr>
          <w:rFonts w:ascii="Arial" w:cs="Arial" w:eastAsia="Arial" w:hAnsi="Arial"/>
          <w:i/>
          <w:iCs/>
          <w:color w:val="9CA3AF"/>
          <w:sz w:val="17"/>
          <w:szCs w:val="17"/>
        </w:rPr>
        <w:t xml:space="preserve">This functional specification was produced as part of the "From the Big Bang to the Bedside" pharmacogenomics informatics project. github.com/IT-Professional-Kristina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2026-04-24T20:35:23.683Z</dcterms:created>
  <dcterms:modified xsi:type="dcterms:W3CDTF">2026-04-24T20:35:23.683Z</dcterms:modified>
</cp:coreProperties>
</file>

<file path=docProps/custom.xml><?xml version="1.0" encoding="utf-8"?>
<Properties xmlns="http://schemas.openxmlformats.org/officeDocument/2006/custom-properties" xmlns:vt="http://schemas.openxmlformats.org/officeDocument/2006/docPropsVTypes"/>
</file>