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jc w:val="center"/>
            </w:pPr>
            <w:r>
              <w:rPr>
                <w:rFonts w:ascii="Arial" w:cs="Arial" w:eastAsia="Arial" w:hAnsi="Arial"/>
                <w:b/>
                <w:bCs/>
                <w:color w:val="FFFFFF"/>
                <w:spacing w:val="60"/>
                <w:sz w:val="28"/>
                <w:szCs w:val="28"/>
              </w:rPr>
              <w:t xml:space="preserve">EPIC WILLOW — FUNCTIONAL SPECIFICATION</w:t>
            </w:r>
          </w:p>
          <w:p>
            <w:pPr>
              <w:spacing w:after="60"/>
              <w:jc w:val="center"/>
            </w:pPr>
            <w:r>
              <w:rPr>
                <w:rFonts w:ascii="Arial" w:cs="Arial" w:eastAsia="Arial" w:hAnsi="Arial"/>
                <w:color w:val="B8C8DC"/>
                <w:sz w:val="20"/>
                <w:szCs w:val="20"/>
              </w:rPr>
              <w:t xml:space="preserve">Pharmacogenomics Clinical Decision Support  │  Cardiovascular Medication Safety</w:t>
            </w:r>
          </w:p>
          <w:p>
            <w:pPr>
              <w:spacing w:after="0"/>
              <w:jc w:val="center"/>
            </w:pPr>
            <w:r>
              <w:rPr>
                <w:rFonts w:ascii="Arial" w:cs="Arial" w:eastAsia="Arial" w:hAnsi="Arial"/>
                <w:color w:val="C8D8E8"/>
                <w:sz w:val="18"/>
                <w:szCs w:val="18"/>
              </w:rPr>
              <w:t xml:space="preserve">Document ID: FS-PGX-004  │  Version: 1.0  │  Status: Draft  │  April 2026</w:t>
            </w:r>
          </w:p>
        </w:tc>
      </w:tr>
    </w:tbl>
    <w:p>
      <w:pPr>
        <w:spacing w:after="120" w:before="60"/>
      </w:pPr>
      <w:r>
        <w:t xml:space="preserve"/>
      </w:r>
    </w:p>
    <w:p>
      <w:pPr>
        <w:pBdr>
          <w:bottom w:val="single" w:color="1B3A5C" w:sz="10" w:space="3"/>
        </w:pBdr>
        <w:spacing w:after="80" w:before="220"/>
      </w:pPr>
      <w:r>
        <w:rPr>
          <w:rFonts w:ascii="Arial" w:cs="Arial" w:eastAsia="Arial" w:hAnsi="Arial"/>
          <w:b/>
          <w:bCs/>
          <w:color w:val="1B3A5C"/>
          <w:spacing w:val="30"/>
          <w:sz w:val="22"/>
          <w:szCs w:val="22"/>
        </w:rPr>
        <w:t xml:space="preserve">1. Document Information</w:t>
      </w:r>
    </w:p>
    <w:p>
      <w:pPr>
        <w:spacing w:after="80"/>
      </w:pPr>
      <w:r>
        <w:rPr>
          <w:rFonts w:ascii="Arial" w:cs="Arial" w:eastAsia="Arial" w:hAnsi="Arial"/>
          <w:b/>
          <w:bCs/>
          <w:color w:val="1B3A5C"/>
          <w:sz w:val="20"/>
          <w:szCs w:val="20"/>
        </w:rPr>
        <w:t xml:space="preserve">Specification ID: </w:t>
      </w:r>
      <w:r>
        <w:rPr>
          <w:rFonts w:ascii="Arial" w:cs="Arial" w:eastAsia="Arial" w:hAnsi="Arial"/>
          <w:color w:val="4B5563"/>
          <w:sz w:val="20"/>
          <w:szCs w:val="20"/>
        </w:rPr>
        <w:t xml:space="preserve">FS-PGX-004</w:t>
      </w:r>
    </w:p>
    <w:p>
      <w:pPr>
        <w:spacing w:after="80"/>
      </w:pPr>
      <w:r>
        <w:rPr>
          <w:rFonts w:ascii="Arial" w:cs="Arial" w:eastAsia="Arial" w:hAnsi="Arial"/>
          <w:b/>
          <w:bCs/>
          <w:color w:val="1B3A5C"/>
          <w:sz w:val="20"/>
          <w:szCs w:val="20"/>
        </w:rPr>
        <w:t xml:space="preserve">Title: </w:t>
      </w:r>
      <w:r>
        <w:rPr>
          <w:rFonts w:ascii="Arial" w:cs="Arial" w:eastAsia="Arial" w:hAnsi="Arial"/>
          <w:color w:val="4B5563"/>
          <w:sz w:val="20"/>
          <w:szCs w:val="20"/>
        </w:rPr>
        <w:t xml:space="preserve">CYP2C19 Poor Metabolizer — Clopidogrel Soft Warning with Alternative Recommendation</w:t>
      </w:r>
    </w:p>
    <w:p>
      <w:pPr>
        <w:spacing w:after="80"/>
      </w:pPr>
      <w:r>
        <w:rPr>
          <w:rFonts w:ascii="Arial" w:cs="Arial" w:eastAsia="Arial" w:hAnsi="Arial"/>
          <w:b/>
          <w:bCs/>
          <w:color w:val="1B3A5C"/>
          <w:sz w:val="20"/>
          <w:szCs w:val="20"/>
        </w:rPr>
        <w:t xml:space="preserve">Epic Module: </w:t>
      </w:r>
      <w:r>
        <w:rPr>
          <w:rFonts w:ascii="Arial" w:cs="Arial" w:eastAsia="Arial" w:hAnsi="Arial"/>
          <w:color w:val="4B5563"/>
          <w:sz w:val="20"/>
          <w:szCs w:val="20"/>
        </w:rPr>
        <w:t xml:space="preserve">Willow Inpatient / Willow Ambulatory</w:t>
      </w:r>
    </w:p>
    <w:p>
      <w:pPr>
        <w:spacing w:after="80"/>
      </w:pPr>
      <w:r>
        <w:rPr>
          <w:rFonts w:ascii="Arial" w:cs="Arial" w:eastAsia="Arial" w:hAnsi="Arial"/>
          <w:b/>
          <w:bCs/>
          <w:color w:val="1B3A5C"/>
          <w:sz w:val="20"/>
          <w:szCs w:val="20"/>
        </w:rPr>
        <w:t xml:space="preserve">Alert Type: </w:t>
      </w:r>
      <w:r>
        <w:rPr>
          <w:rFonts w:ascii="Arial" w:cs="Arial" w:eastAsia="Arial" w:hAnsi="Arial"/>
          <w:color w:val="4B5563"/>
          <w:sz w:val="20"/>
          <w:szCs w:val="20"/>
        </w:rPr>
        <w:t xml:space="preserve">Soft Warning — Prescriber acknowledgment required, order not blocked</w:t>
      </w:r>
    </w:p>
    <w:p>
      <w:pPr>
        <w:spacing w:after="80"/>
      </w:pPr>
      <w:r>
        <w:rPr>
          <w:rFonts w:ascii="Arial" w:cs="Arial" w:eastAsia="Arial" w:hAnsi="Arial"/>
          <w:b/>
          <w:bCs/>
          <w:color w:val="1B3A5C"/>
          <w:sz w:val="20"/>
          <w:szCs w:val="20"/>
        </w:rPr>
        <w:t xml:space="preserve">Author: </w:t>
      </w:r>
      <w:r>
        <w:rPr>
          <w:rFonts w:ascii="Arial" w:cs="Arial" w:eastAsia="Arial" w:hAnsi="Arial"/>
          <w:color w:val="4B5563"/>
          <w:sz w:val="20"/>
          <w:szCs w:val="20"/>
        </w:rPr>
        <w:t xml:space="preserve">Kristina Ankrah, Healthcare IT Analyst</w:t>
      </w:r>
    </w:p>
    <w:p>
      <w:pPr>
        <w:spacing w:after="80"/>
      </w:pPr>
      <w:r>
        <w:rPr>
          <w:rFonts w:ascii="Arial" w:cs="Arial" w:eastAsia="Arial" w:hAnsi="Arial"/>
          <w:b/>
          <w:bCs/>
          <w:color w:val="1B3A5C"/>
          <w:sz w:val="20"/>
          <w:szCs w:val="20"/>
        </w:rPr>
        <w:t xml:space="preserve">Clinical Source: </w:t>
      </w:r>
      <w:r>
        <w:rPr>
          <w:rFonts w:ascii="Arial" w:cs="Arial" w:eastAsia="Arial" w:hAnsi="Arial"/>
          <w:color w:val="4B5563"/>
          <w:sz w:val="20"/>
          <w:szCs w:val="20"/>
        </w:rPr>
        <w:t xml:space="preserve">CPIC Guideline for Clopidogrel and CYP2C19 — Evidence Level A</w:t>
      </w:r>
    </w:p>
    <w:p>
      <w:pPr>
        <w:spacing w:after="80"/>
      </w:pPr>
      <w:r>
        <w:rPr>
          <w:rFonts w:ascii="Arial" w:cs="Arial" w:eastAsia="Arial" w:hAnsi="Arial"/>
          <w:b/>
          <w:bCs/>
          <w:color w:val="1B3A5C"/>
          <w:sz w:val="20"/>
          <w:szCs w:val="20"/>
        </w:rPr>
        <w:t xml:space="preserve">Status: </w:t>
      </w:r>
      <w:r>
        <w:rPr>
          <w:rFonts w:ascii="Arial" w:cs="Arial" w:eastAsia="Arial" w:hAnsi="Arial"/>
          <w:color w:val="4B5563"/>
          <w:sz w:val="20"/>
          <w:szCs w:val="20"/>
        </w:rPr>
        <w:t xml:space="preserve">Draft — Pending clinical and pharmacy review</w:t>
      </w:r>
    </w:p>
    <w:p>
      <w:pPr>
        <w:pBdr>
          <w:bottom w:val="single" w:color="1B3A5C" w:sz="10" w:space="3"/>
        </w:pBdr>
        <w:spacing w:after="80" w:before="220"/>
      </w:pPr>
      <w:r>
        <w:rPr>
          <w:rFonts w:ascii="Arial" w:cs="Arial" w:eastAsia="Arial" w:hAnsi="Arial"/>
          <w:b/>
          <w:bCs/>
          <w:color w:val="1B3A5C"/>
          <w:spacing w:val="30"/>
          <w:sz w:val="22"/>
          <w:szCs w:val="22"/>
        </w:rPr>
        <w:t xml:space="preserve">2. Clinical Background and Purpose</w:t>
      </w:r>
    </w:p>
    <w:p>
      <w:pPr>
        <w:spacing w:after="120"/>
      </w:pPr>
      <w:r>
        <w:rPr>
          <w:rFonts w:ascii="Arial" w:cs="Arial" w:eastAsia="Arial" w:hAnsi="Arial"/>
          <w:color w:val="4B5563"/>
          <w:sz w:val="20"/>
          <w:szCs w:val="20"/>
        </w:rPr>
        <w:t xml:space="preserve">Clopidogrel is an antiplatelet prodrug used to prevent stent thrombosis and cardiovascular events. It requires CYP2C19 to convert from its inactive form to its active thiol metabolite. CYP2C19 Poor Metabolizers cannot perform this activation — clopidogrel provides no antiplatelet benefit, leaving patients with coronary stents at risk of stent thrombosis, heart attack, and death.</w:t>
      </w:r>
    </w:p>
    <w:p>
      <w:pPr>
        <w:spacing w:after="120"/>
      </w:pPr>
      <w:r>
        <w:rPr>
          <w:rFonts w:ascii="Arial" w:cs="Arial" w:eastAsia="Arial" w:hAnsi="Arial"/>
          <w:color w:val="4B5563"/>
          <w:sz w:val="20"/>
          <w:szCs w:val="20"/>
        </w:rPr>
        <w:t xml:space="preserve">Unlike the codeine and mercaptopurine alerts, the clopidogrel alert is configured as a soft warning rather than a hard stop. This reflects clinical reality — there are situations where clopidogrel may still be the preferred agent despite reduced efficacy, and the prescriber must make that determination. The alert ensures the prescriber is aware of the genomic finding and must actively acknowledge it before proceeding.</w:t>
      </w:r>
    </w:p>
    <w:p>
      <w:pPr>
        <w:spacing w:after="120"/>
      </w:pPr>
      <w:r>
        <w:rPr>
          <w:rFonts w:ascii="Arial" w:cs="Arial" w:eastAsia="Arial" w:hAnsi="Arial"/>
          <w:color w:val="4B5563"/>
          <w:sz w:val="20"/>
          <w:szCs w:val="20"/>
        </w:rPr>
        <w:t xml:space="preserve">Copernican parallel from project framework: the old model — one antiplatelet fits all — is the geocentric error. CYP2C19 PM patients need prasugrel or ticagrelor at the center of their treatment plan, not clopidogrel. The genome is the center; the drug selection orbits it.</w:t>
      </w:r>
    </w:p>
    <w:p>
      <w:pPr>
        <w:pBdr>
          <w:bottom w:val="single" w:color="1B3A5C" w:sz="10" w:space="3"/>
        </w:pBdr>
        <w:spacing w:after="80" w:before="220"/>
      </w:pPr>
      <w:r>
        <w:rPr>
          <w:rFonts w:ascii="Arial" w:cs="Arial" w:eastAsia="Arial" w:hAnsi="Arial"/>
          <w:b/>
          <w:bCs/>
          <w:color w:val="1B3A5C"/>
          <w:spacing w:val="30"/>
          <w:sz w:val="22"/>
          <w:szCs w:val="22"/>
        </w:rPr>
        <w:t xml:space="preserve">3. Alert Trigger Conditions</w:t>
      </w:r>
    </w:p>
    <w:p>
      <w:pPr>
        <w:pStyle w:val="ListParagraph"/>
        <w:numPr>
          <w:ilvl w:val="0"/>
          <w:numId w:val="2"/>
        </w:numPr>
        <w:spacing w:after="60"/>
      </w:pPr>
      <w:r>
        <w:rPr>
          <w:rFonts w:ascii="Arial" w:cs="Arial" w:eastAsia="Arial" w:hAnsi="Arial"/>
          <w:color w:val="4B5563"/>
          <w:sz w:val="20"/>
          <w:szCs w:val="20"/>
        </w:rPr>
        <w:t xml:space="preserve">A clopidogrel order is initiated in Willow Inpatient or Willow Ambulatory</w:t>
      </w:r>
    </w:p>
    <w:p>
      <w:pPr>
        <w:pStyle w:val="ListParagraph"/>
        <w:numPr>
          <w:ilvl w:val="0"/>
          <w:numId w:val="2"/>
        </w:numPr>
        <w:spacing w:after="60"/>
      </w:pPr>
      <w:r>
        <w:rPr>
          <w:rFonts w:ascii="Arial" w:cs="Arial" w:eastAsia="Arial" w:hAnsi="Arial"/>
          <w:color w:val="4B5563"/>
          <w:sz w:val="20"/>
          <w:szCs w:val="20"/>
        </w:rPr>
        <w:t xml:space="preserve">The patient's discrete genomic data contains a documented CYP2C19 result</w:t>
      </w:r>
    </w:p>
    <w:p>
      <w:pPr>
        <w:pStyle w:val="ListParagraph"/>
        <w:numPr>
          <w:ilvl w:val="0"/>
          <w:numId w:val="2"/>
        </w:numPr>
        <w:spacing w:after="60"/>
      </w:pPr>
      <w:r>
        <w:rPr>
          <w:rFonts w:ascii="Arial" w:cs="Arial" w:eastAsia="Arial" w:hAnsi="Arial"/>
          <w:color w:val="4B5563"/>
          <w:sz w:val="20"/>
          <w:szCs w:val="20"/>
        </w:rPr>
        <w:t xml:space="preserve">The CYP2C19 result maps to Poor Metabolizer phenotype (*2/*2, *2/*3, *3/*3)</w:t>
      </w:r>
    </w:p>
    <w:p>
      <w:pPr>
        <w:pStyle w:val="ListParagraph"/>
        <w:numPr>
          <w:ilvl w:val="0"/>
          <w:numId w:val="2"/>
        </w:numPr>
        <w:spacing w:after="60"/>
      </w:pPr>
      <w:r>
        <w:rPr>
          <w:rFonts w:ascii="Arial" w:cs="Arial" w:eastAsia="Arial" w:hAnsi="Arial"/>
          <w:color w:val="4B5563"/>
          <w:sz w:val="20"/>
          <w:szCs w:val="20"/>
        </w:rPr>
        <w:t xml:space="preserve">The order has not yet been verified by a pharmacist</w:t>
      </w:r>
    </w:p>
    <w:p>
      <w:pPr>
        <w:pBdr>
          <w:bottom w:val="single" w:color="1B3A5C" w:sz="10" w:space="3"/>
        </w:pBdr>
        <w:spacing w:after="80" w:before="220"/>
      </w:pPr>
      <w:r>
        <w:rPr>
          <w:rFonts w:ascii="Arial" w:cs="Arial" w:eastAsia="Arial" w:hAnsi="Arial"/>
          <w:b/>
          <w:bCs/>
          <w:color w:val="1B3A5C"/>
          <w:spacing w:val="30"/>
          <w:sz w:val="22"/>
          <w:szCs w:val="22"/>
        </w:rPr>
        <w:t xml:space="preserve">4. Alert Display — Simulated Willow CDS Soft Warning</w:t>
      </w:r>
    </w:p>
    <w:p>
      <w:pPr>
        <w:spacing w:after="120" w:before="120"/>
      </w:pPr>
      <w:r>
        <w:t xml:space="preserve"/>
      </w:r>
    </w:p>
    <w:tbl>
      <w:tblPr>
        <w:tblW w:type="dxa" w:w="9360"/>
        <w:tblBorders>
          <w:top w:val="single" w:color="92400E" w:sz="4"/>
          <w:left w:val="single" w:color="92400E" w:sz="4"/>
          <w:bottom w:val="single" w:color="92400E" w:sz="4"/>
          <w:right w:val="single" w:color="92400E"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3C7" w:val="clear"/>
            <w:tcMar>
              <w:top w:type="dxa" w:w="120"/>
              <w:left w:type="dxa" w:w="160"/>
              <w:bottom w:type="dxa" w:w="120"/>
              <w:right w:type="dxa" w:w="160"/>
            </w:tcMar>
          </w:tcPr>
          <w:p>
            <w:pPr>
              <w:spacing w:after="60"/>
            </w:pPr>
            <w:r>
              <w:rPr>
                <w:rFonts w:ascii="Arial" w:cs="Arial" w:eastAsia="Arial" w:hAnsi="Arial"/>
                <w:b/>
                <w:bCs/>
                <w:color w:val="92400E"/>
                <w:sz w:val="22"/>
                <w:szCs w:val="22"/>
              </w:rPr>
              <w:t xml:space="preserve">SOFT WARNING — Clopidogrel — Reduced Efficacy Expected — CYP2C19 Poor Metabolizer</w:t>
            </w:r>
          </w:p>
          <w:p>
            <w:pPr>
              <w:spacing w:after="0"/>
            </w:pPr>
            <w:r>
              <w:rPr>
                <w:rFonts w:ascii="Arial" w:cs="Arial" w:eastAsia="Arial" w:hAnsi="Arial"/>
                <w:color w:val="92400E"/>
                <w:sz w:val="20"/>
                <w:szCs w:val="20"/>
              </w:rPr>
              <w:t xml:space="preserve">Patient genomic data indicates CYP2C19 Poor Metabolizer status (*2/*2). Clopidogrel requires CYP2C19 activation to produce antiplatelet effect. This patient has significantly reduced or absent CYP2C19 activity — clopidogrel is unlikely to provide adequate antiplatelet protection. Consider prasugrel or ticagrelor as alternative antiplatelet therapy. Prescriber must acknowledge this finding to continue. Reference: CPIC Guideline for Clopidogrel and CYP2C19 — Level A.</w:t>
            </w:r>
          </w:p>
        </w:tc>
      </w:tr>
    </w:tbl>
    <w:p>
      <w:pPr>
        <w:spacing w:after="80" w:before="120"/>
      </w:pPr>
      <w:r>
        <w:t xml:space="preserve"/>
      </w:r>
    </w:p>
    <w:p>
      <w:pPr>
        <w:spacing w:after="80"/>
      </w:pPr>
      <w:r>
        <w:rPr>
          <w:rFonts w:ascii="Arial" w:cs="Arial" w:eastAsia="Arial" w:hAnsi="Arial"/>
          <w:b/>
          <w:bCs/>
          <w:color w:val="1B3A5C"/>
          <w:sz w:val="20"/>
          <w:szCs w:val="20"/>
        </w:rPr>
        <w:t xml:space="preserve">Override permitted: </w:t>
      </w:r>
      <w:r>
        <w:rPr>
          <w:rFonts w:ascii="Arial" w:cs="Arial" w:eastAsia="Arial" w:hAnsi="Arial"/>
          <w:color w:val="4B5563"/>
          <w:sz w:val="20"/>
          <w:szCs w:val="20"/>
        </w:rPr>
        <w:t xml:space="preserve">Yes — prescriber acknowledgment required with documented clinical rationale</w:t>
      </w:r>
    </w:p>
    <w:p>
      <w:pPr>
        <w:spacing w:after="80"/>
      </w:pPr>
      <w:r>
        <w:rPr>
          <w:rFonts w:ascii="Arial" w:cs="Arial" w:eastAsia="Arial" w:hAnsi="Arial"/>
          <w:b/>
          <w:bCs/>
          <w:color w:val="1B3A5C"/>
          <w:sz w:val="20"/>
          <w:szCs w:val="20"/>
        </w:rPr>
        <w:t xml:space="preserve">Override reason required: </w:t>
      </w:r>
      <w:r>
        <w:rPr>
          <w:rFonts w:ascii="Arial" w:cs="Arial" w:eastAsia="Arial" w:hAnsi="Arial"/>
          <w:color w:val="4B5563"/>
          <w:sz w:val="20"/>
          <w:szCs w:val="20"/>
        </w:rPr>
        <w:t xml:space="preserve">Prescriber must select from dropdown: (1) Alternative contraindicated, (2) Patient preference after counseling, (3) Clinical circumstances require clopidogrel</w:t>
      </w:r>
    </w:p>
    <w:p>
      <w:pPr>
        <w:spacing w:after="80"/>
      </w:pPr>
      <w:r>
        <w:rPr>
          <w:rFonts w:ascii="Arial" w:cs="Arial" w:eastAsia="Arial" w:hAnsi="Arial"/>
          <w:b/>
          <w:bCs/>
          <w:color w:val="1B3A5C"/>
          <w:sz w:val="20"/>
          <w:szCs w:val="20"/>
        </w:rPr>
        <w:t xml:space="preserve">Button options: </w:t>
      </w:r>
      <w:r>
        <w:rPr>
          <w:rFonts w:ascii="Arial" w:cs="Arial" w:eastAsia="Arial" w:hAnsi="Arial"/>
          <w:color w:val="4B5563"/>
          <w:sz w:val="20"/>
          <w:szCs w:val="20"/>
        </w:rPr>
        <w:t xml:space="preserve">"Acknowledge and Continue" (requires reason) | "Select Alternative" | "View CPIC Guideline"</w:t>
      </w:r>
    </w:p>
    <w:p>
      <w:pPr>
        <w:spacing w:after="80"/>
      </w:pPr>
      <w:r>
        <w:rPr>
          <w:rFonts w:ascii="Arial" w:cs="Arial" w:eastAsia="Arial" w:hAnsi="Arial"/>
          <w:b/>
          <w:bCs/>
          <w:color w:val="1B3A5C"/>
          <w:sz w:val="20"/>
          <w:szCs w:val="20"/>
        </w:rPr>
        <w:t xml:space="preserve">Pharmacist notification: </w:t>
      </w:r>
      <w:r>
        <w:rPr>
          <w:rFonts w:ascii="Arial" w:cs="Arial" w:eastAsia="Arial" w:hAnsi="Arial"/>
          <w:color w:val="4B5563"/>
          <w:sz w:val="20"/>
          <w:szCs w:val="20"/>
        </w:rPr>
        <w:t xml:space="preserve">Alert firing and prescriber acknowledgment reason logged — pharmacist receives notification for independent review</w:t>
      </w:r>
    </w:p>
    <w:p>
      <w:pPr>
        <w:pBdr>
          <w:bottom w:val="single" w:color="1B3A5C" w:sz="10" w:space="3"/>
        </w:pBdr>
        <w:spacing w:after="80" w:before="220"/>
      </w:pPr>
      <w:r>
        <w:rPr>
          <w:rFonts w:ascii="Arial" w:cs="Arial" w:eastAsia="Arial" w:hAnsi="Arial"/>
          <w:b/>
          <w:bCs/>
          <w:color w:val="1B3A5C"/>
          <w:spacing w:val="30"/>
          <w:sz w:val="22"/>
          <w:szCs w:val="22"/>
        </w:rPr>
        <w:t xml:space="preserve">5. Build Requirements</w:t>
      </w:r>
    </w:p>
    <w:p>
      <w:pPr>
        <w:spacing w:after="60" w:before="100"/>
      </w:pPr>
      <w:r>
        <w:rPr>
          <w:rFonts w:ascii="Arial" w:cs="Arial" w:eastAsia="Arial" w:hAnsi="Arial"/>
          <w:b/>
          <w:bCs/>
          <w:color w:val="1B3A5C"/>
          <w:sz w:val="20"/>
          <w:szCs w:val="20"/>
        </w:rPr>
        <w:t xml:space="preserve">5.1  Medication grouper</w:t>
      </w:r>
    </w:p>
    <w:p>
      <w:pPr>
        <w:pStyle w:val="ListParagraph"/>
        <w:numPr>
          <w:ilvl w:val="0"/>
          <w:numId w:val="2"/>
        </w:numPr>
        <w:spacing w:after="60"/>
      </w:pPr>
      <w:r>
        <w:rPr>
          <w:rFonts w:ascii="Arial" w:cs="Arial" w:eastAsia="Arial" w:hAnsi="Arial"/>
          <w:color w:val="4B5563"/>
          <w:sz w:val="20"/>
          <w:szCs w:val="20"/>
        </w:rPr>
        <w:t xml:space="preserve">Create GROUPER-CLOPIDOGREL containing all clopidogrel formulations and combination products</w:t>
      </w:r>
    </w:p>
    <w:p>
      <w:pPr>
        <w:spacing w:after="60" w:before="100"/>
      </w:pPr>
      <w:r>
        <w:rPr>
          <w:rFonts w:ascii="Arial" w:cs="Arial" w:eastAsia="Arial" w:hAnsi="Arial"/>
          <w:b/>
          <w:bCs/>
          <w:color w:val="1B3A5C"/>
          <w:sz w:val="20"/>
          <w:szCs w:val="20"/>
        </w:rPr>
        <w:t xml:space="preserve">5.2  Genomic result mapping</w:t>
      </w:r>
    </w:p>
    <w:p>
      <w:pPr>
        <w:pStyle w:val="ListParagraph"/>
        <w:numPr>
          <w:ilvl w:val="0"/>
          <w:numId w:val="2"/>
        </w:numPr>
        <w:spacing w:after="60"/>
      </w:pPr>
      <w:r>
        <w:rPr>
          <w:rFonts w:ascii="Arial" w:cs="Arial" w:eastAsia="Arial" w:hAnsi="Arial"/>
          <w:color w:val="4B5563"/>
          <w:sz w:val="20"/>
          <w:szCs w:val="20"/>
        </w:rPr>
        <w:t xml:space="preserve">Map CYP2C19 non-functional alleles to Poor Metabolizer: *2, *3, *4, *5, *6, *7, *8</w:t>
      </w:r>
    </w:p>
    <w:p>
      <w:pPr>
        <w:pStyle w:val="ListParagraph"/>
        <w:numPr>
          <w:ilvl w:val="0"/>
          <w:numId w:val="2"/>
        </w:numPr>
        <w:spacing w:after="60"/>
      </w:pPr>
      <w:r>
        <w:rPr>
          <w:rFonts w:ascii="Arial" w:cs="Arial" w:eastAsia="Arial" w:hAnsi="Arial"/>
          <w:color w:val="4B5563"/>
          <w:sz w:val="20"/>
          <w:szCs w:val="20"/>
        </w:rPr>
        <w:t xml:space="preserve">Note: CYP2C19 Intermediate Metabolizers (*1/*2) also have reduced efficacy — coordinate with clinical pharmacogenomics on whether separate IM alert is needed</w:t>
      </w:r>
    </w:p>
    <w:p>
      <w:pPr>
        <w:spacing w:after="60" w:before="100"/>
      </w:pPr>
      <w:r>
        <w:rPr>
          <w:rFonts w:ascii="Arial" w:cs="Arial" w:eastAsia="Arial" w:hAnsi="Arial"/>
          <w:b/>
          <w:bCs/>
          <w:color w:val="1B3A5C"/>
          <w:sz w:val="20"/>
          <w:szCs w:val="20"/>
        </w:rPr>
        <w:t xml:space="preserve">5.3  BPA configuration — soft warning</w:t>
      </w:r>
    </w:p>
    <w:p>
      <w:pPr>
        <w:pStyle w:val="ListParagraph"/>
        <w:numPr>
          <w:ilvl w:val="0"/>
          <w:numId w:val="2"/>
        </w:numPr>
        <w:spacing w:after="60"/>
      </w:pPr>
      <w:r>
        <w:rPr>
          <w:rFonts w:ascii="Arial" w:cs="Arial" w:eastAsia="Arial" w:hAnsi="Arial"/>
          <w:color w:val="4B5563"/>
          <w:sz w:val="20"/>
          <w:szCs w:val="20"/>
        </w:rPr>
        <w:t xml:space="preserve">Alert type: Soft Warning with mandatory acknowledgment reason</w:t>
      </w:r>
    </w:p>
    <w:p>
      <w:pPr>
        <w:pStyle w:val="ListParagraph"/>
        <w:numPr>
          <w:ilvl w:val="0"/>
          <w:numId w:val="2"/>
        </w:numPr>
        <w:spacing w:after="60"/>
      </w:pPr>
      <w:r>
        <w:rPr>
          <w:rFonts w:ascii="Arial" w:cs="Arial" w:eastAsia="Arial" w:hAnsi="Arial"/>
          <w:color w:val="4B5563"/>
          <w:sz w:val="20"/>
          <w:szCs w:val="20"/>
        </w:rPr>
        <w:t xml:space="preserve">Logic: IF medication IN GROUPER-CLOPIDOGREL AND CYP2C19 phenotype = Poor Metabolizer THEN fire soft warning</w:t>
      </w:r>
    </w:p>
    <w:p>
      <w:pPr>
        <w:pStyle w:val="ListParagraph"/>
        <w:numPr>
          <w:ilvl w:val="0"/>
          <w:numId w:val="2"/>
        </w:numPr>
        <w:spacing w:after="60"/>
      </w:pPr>
      <w:r>
        <w:rPr>
          <w:rFonts w:ascii="Arial" w:cs="Arial" w:eastAsia="Arial" w:hAnsi="Arial"/>
          <w:color w:val="4B5563"/>
          <w:sz w:val="20"/>
          <w:szCs w:val="20"/>
        </w:rPr>
        <w:t xml:space="preserve">Override: Permitted — prescriber must select acknowledgment reason from controlled dropdown</w:t>
      </w:r>
    </w:p>
    <w:p>
      <w:pPr>
        <w:pStyle w:val="ListParagraph"/>
        <w:numPr>
          <w:ilvl w:val="0"/>
          <w:numId w:val="2"/>
        </w:numPr>
        <w:spacing w:after="60"/>
      </w:pPr>
      <w:r>
        <w:rPr>
          <w:rFonts w:ascii="Arial" w:cs="Arial" w:eastAsia="Arial" w:hAnsi="Arial"/>
          <w:color w:val="4B5563"/>
          <w:sz w:val="20"/>
          <w:szCs w:val="20"/>
        </w:rPr>
        <w:t xml:space="preserve">Pharmacist: Notification sent to dispensing pharmacist queue when override is selected</w:t>
      </w:r>
    </w:p>
    <w:p>
      <w:pPr>
        <w:pBdr>
          <w:bottom w:val="single" w:color="1B3A5C" w:sz="10" w:space="3"/>
        </w:pBdr>
        <w:spacing w:after="80" w:before="220"/>
      </w:pPr>
      <w:r>
        <w:rPr>
          <w:rFonts w:ascii="Arial" w:cs="Arial" w:eastAsia="Arial" w:hAnsi="Arial"/>
          <w:b/>
          <w:bCs/>
          <w:color w:val="1B3A5C"/>
          <w:spacing w:val="30"/>
          <w:sz w:val="22"/>
          <w:szCs w:val="22"/>
        </w:rPr>
        <w:t xml:space="preserve">6. Testing Scenarios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Test scenario</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Input / patient state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Expected system behavior</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Result</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patient orders clopidogrel</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CYP2C19 *2/*2 + clopidogrel 75mg order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Soft warning fires — acknowledgment required</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prescriber acknowledges</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Soft warning fires → reason selected → continue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Order processes — pharmacist notified</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prescriber selects alternative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Soft warning fires → Select Alternative clicked</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Order cancelled — returns to med search</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NM patient orders clopidogrel</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CYP2C19 *1/*1 + clopidogrel order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 alert — order processes normally</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patient orders prasugrel</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CYP2C19 *2/*2 + prasugrel order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 alert — prasugrel not in grouper</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 no reason selected</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Acknowledge clicked without reason selection</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System requires reason — cannot proceed</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bl>
    <w:p>
      <w:pPr>
        <w:pBdr>
          <w:bottom w:val="single" w:color="1B3A5C" w:sz="10" w:space="3"/>
        </w:pBdr>
        <w:spacing w:after="80" w:before="220"/>
      </w:pPr>
      <w:r>
        <w:rPr>
          <w:rFonts w:ascii="Arial" w:cs="Arial" w:eastAsia="Arial" w:hAnsi="Arial"/>
          <w:b/>
          <w:bCs/>
          <w:color w:val="1B3A5C"/>
          <w:spacing w:val="30"/>
          <w:sz w:val="22"/>
          <w:szCs w:val="22"/>
        </w:rPr>
        <w:t xml:space="preserve">7. Review and Sign-Off</w:t>
      </w:r>
    </w:p>
    <w:p>
      <w:pPr>
        <w:spacing w:after="80"/>
      </w:pPr>
      <w:r>
        <w:rPr>
          <w:rFonts w:ascii="Arial" w:cs="Arial" w:eastAsia="Arial" w:hAnsi="Arial"/>
          <w:b/>
          <w:bCs/>
          <w:color w:val="1B3A5C"/>
          <w:sz w:val="20"/>
          <w:szCs w:val="20"/>
        </w:rPr>
        <w:t xml:space="preserve">Clinical Pharmacy Review: </w:t>
      </w:r>
      <w:r>
        <w:rPr>
          <w:rFonts w:ascii="Arial" w:cs="Arial" w:eastAsia="Arial" w:hAnsi="Arial"/>
          <w:color w:val="4B5563"/>
          <w:sz w:val="20"/>
          <w:szCs w:val="20"/>
        </w:rPr>
        <w:t xml:space="preserve">Pending — Cardiovascular Clinical Pharmacist</w:t>
      </w:r>
    </w:p>
    <w:p>
      <w:pPr>
        <w:spacing w:after="80"/>
      </w:pPr>
      <w:r>
        <w:rPr>
          <w:rFonts w:ascii="Arial" w:cs="Arial" w:eastAsia="Arial" w:hAnsi="Arial"/>
          <w:b/>
          <w:bCs/>
          <w:color w:val="1B3A5C"/>
          <w:sz w:val="20"/>
          <w:szCs w:val="20"/>
        </w:rPr>
        <w:t xml:space="preserve">Cardiology Physician Champion: </w:t>
      </w:r>
      <w:r>
        <w:rPr>
          <w:rFonts w:ascii="Arial" w:cs="Arial" w:eastAsia="Arial" w:hAnsi="Arial"/>
          <w:color w:val="4B5563"/>
          <w:sz w:val="20"/>
          <w:szCs w:val="20"/>
        </w:rPr>
        <w:t xml:space="preserve">Pending</w:t>
      </w:r>
    </w:p>
    <w:p>
      <w:pPr>
        <w:spacing w:after="80"/>
      </w:pPr>
      <w:r>
        <w:rPr>
          <w:rFonts w:ascii="Arial" w:cs="Arial" w:eastAsia="Arial" w:hAnsi="Arial"/>
          <w:b/>
          <w:bCs/>
          <w:color w:val="1B3A5C"/>
          <w:sz w:val="20"/>
          <w:szCs w:val="20"/>
        </w:rPr>
        <w:t xml:space="preserve">Epic Analyst Build Sign-off: </w:t>
      </w:r>
      <w:r>
        <w:rPr>
          <w:rFonts w:ascii="Arial" w:cs="Arial" w:eastAsia="Arial" w:hAnsi="Arial"/>
          <w:color w:val="4B5563"/>
          <w:sz w:val="20"/>
          <w:szCs w:val="20"/>
        </w:rPr>
        <w:t xml:space="preserve">Pending</w:t>
      </w:r>
    </w:p>
    <w:p>
      <w:pPr>
        <w:spacing w:after="80"/>
      </w:pPr>
      <w:r>
        <w:rPr>
          <w:rFonts w:ascii="Arial" w:cs="Arial" w:eastAsia="Arial" w:hAnsi="Arial"/>
          <w:b/>
          <w:bCs/>
          <w:color w:val="1B3A5C"/>
          <w:sz w:val="20"/>
          <w:szCs w:val="20"/>
        </w:rPr>
        <w:t xml:space="preserve">Go-Live Approval: </w:t>
      </w:r>
      <w:r>
        <w:rPr>
          <w:rFonts w:ascii="Arial" w:cs="Arial" w:eastAsia="Arial" w:hAnsi="Arial"/>
          <w:color w:val="4B5563"/>
          <w:sz w:val="20"/>
          <w:szCs w:val="20"/>
        </w:rPr>
        <w:t xml:space="preserve">Pending — CMIO</w:t>
      </w:r>
    </w:p>
    <w:p>
      <w:pPr>
        <w:pBdr>
          <w:top w:val="single" w:color="D1D5DB" w:sz="4" w:space="8"/>
        </w:pBdr>
        <w:spacing w:after="0" w:before="200"/>
      </w:pPr>
      <w:r>
        <w:rPr>
          <w:rFonts w:ascii="Arial" w:cs="Arial" w:eastAsia="Arial" w:hAnsi="Arial"/>
          <w:i/>
          <w:iCs/>
          <w:color w:val="9CA3AF"/>
          <w:sz w:val="17"/>
          <w:szCs w:val="17"/>
        </w:rPr>
        <w:t xml:space="preserve">This functional specification was produced as part of the "From the Big Bang to the Bedside" pharmacogenomics informatics project. github.com/IT-Professional-Kristina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2026-04-24T20:35:23.687Z</dcterms:created>
  <dcterms:modified xsi:type="dcterms:W3CDTF">2026-04-24T20:35:23.687Z</dcterms:modified>
</cp:coreProperties>
</file>

<file path=docProps/custom.xml><?xml version="1.0" encoding="utf-8"?>
<Properties xmlns="http://schemas.openxmlformats.org/officeDocument/2006/custom-properties" xmlns:vt="http://schemas.openxmlformats.org/officeDocument/2006/docPropsVTypes"/>
</file>