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jc w:val="center"/>
            </w:pPr>
            <w:r>
              <w:rPr>
                <w:rFonts w:ascii="Arial" w:cs="Arial" w:eastAsia="Arial" w:hAnsi="Arial"/>
                <w:b/>
                <w:bCs/>
                <w:color w:val="FFFFFF"/>
                <w:spacing w:val="60"/>
                <w:sz w:val="28"/>
                <w:szCs w:val="28"/>
              </w:rPr>
              <w:t xml:space="preserve">EPIC WILLOW — FUNCTIONAL SPECIFICATION</w:t>
            </w:r>
          </w:p>
          <w:p>
            <w:pPr>
              <w:spacing w:after="60"/>
              <w:jc w:val="center"/>
            </w:pPr>
            <w:r>
              <w:rPr>
                <w:rFonts w:ascii="Arial" w:cs="Arial" w:eastAsia="Arial" w:hAnsi="Arial"/>
                <w:color w:val="B8C8DC"/>
                <w:sz w:val="20"/>
                <w:szCs w:val="20"/>
              </w:rPr>
              <w:t xml:space="preserve">Pharmacogenomics Clinical Decision Support  │  Oncology Chemotherapy Safety</w:t>
            </w:r>
          </w:p>
          <w:p>
            <w:pPr>
              <w:spacing w:after="0"/>
              <w:jc w:val="center"/>
            </w:pPr>
            <w:r>
              <w:rPr>
                <w:rFonts w:ascii="Arial" w:cs="Arial" w:eastAsia="Arial" w:hAnsi="Arial"/>
                <w:color w:val="C8D8E8"/>
                <w:sz w:val="18"/>
                <w:szCs w:val="18"/>
              </w:rPr>
              <w:t xml:space="preserve">Document ID: FS-PGX-005  │  Version: 1.0  │  Status: Draft  │  April 2026</w:t>
            </w:r>
          </w:p>
        </w:tc>
      </w:tr>
    </w:tbl>
    <w:p>
      <w:pPr>
        <w:spacing w:after="120" w:before="60"/>
      </w:pPr>
      <w:r>
        <w:t xml:space="preserve"/>
      </w:r>
    </w:p>
    <w:p>
      <w:pPr>
        <w:pBdr>
          <w:bottom w:val="single" w:color="1B3A5C" w:sz="10" w:space="3"/>
        </w:pBdr>
        <w:spacing w:after="80" w:before="220"/>
      </w:pPr>
      <w:r>
        <w:rPr>
          <w:rFonts w:ascii="Arial" w:cs="Arial" w:eastAsia="Arial" w:hAnsi="Arial"/>
          <w:b/>
          <w:bCs/>
          <w:color w:val="1B3A5C"/>
          <w:spacing w:val="30"/>
          <w:sz w:val="22"/>
          <w:szCs w:val="22"/>
        </w:rPr>
        <w:t xml:space="preserve">1. Document Information</w:t>
      </w:r>
    </w:p>
    <w:p>
      <w:pPr>
        <w:spacing w:after="80"/>
      </w:pPr>
      <w:r>
        <w:rPr>
          <w:rFonts w:ascii="Arial" w:cs="Arial" w:eastAsia="Arial" w:hAnsi="Arial"/>
          <w:b/>
          <w:bCs/>
          <w:color w:val="1B3A5C"/>
          <w:sz w:val="20"/>
          <w:szCs w:val="20"/>
        </w:rPr>
        <w:t xml:space="preserve">Specification ID: </w:t>
      </w:r>
      <w:r>
        <w:rPr>
          <w:rFonts w:ascii="Arial" w:cs="Arial" w:eastAsia="Arial" w:hAnsi="Arial"/>
          <w:color w:val="4B5563"/>
          <w:sz w:val="20"/>
          <w:szCs w:val="20"/>
        </w:rPr>
        <w:t xml:space="preserve">FS-PGX-005</w:t>
      </w:r>
    </w:p>
    <w:p>
      <w:pPr>
        <w:spacing w:after="80"/>
      </w:pPr>
      <w:r>
        <w:rPr>
          <w:rFonts w:ascii="Arial" w:cs="Arial" w:eastAsia="Arial" w:hAnsi="Arial"/>
          <w:b/>
          <w:bCs/>
          <w:color w:val="1B3A5C"/>
          <w:sz w:val="20"/>
          <w:szCs w:val="20"/>
        </w:rPr>
        <w:t xml:space="preserve">Title: </w:t>
      </w:r>
      <w:r>
        <w:rPr>
          <w:rFonts w:ascii="Arial" w:cs="Arial" w:eastAsia="Arial" w:hAnsi="Arial"/>
          <w:color w:val="4B5563"/>
          <w:sz w:val="20"/>
          <w:szCs w:val="20"/>
        </w:rPr>
        <w:t xml:space="preserve">DPYD Poor Metabolizer — Fluorouracil Hard Stop with Oncology Pharmacist Override</w:t>
      </w:r>
    </w:p>
    <w:p>
      <w:pPr>
        <w:spacing w:after="80"/>
      </w:pPr>
      <w:r>
        <w:rPr>
          <w:rFonts w:ascii="Arial" w:cs="Arial" w:eastAsia="Arial" w:hAnsi="Arial"/>
          <w:b/>
          <w:bCs/>
          <w:color w:val="1B3A5C"/>
          <w:sz w:val="20"/>
          <w:szCs w:val="20"/>
        </w:rPr>
        <w:t xml:space="preserve">Epic Module: </w:t>
      </w:r>
      <w:r>
        <w:rPr>
          <w:rFonts w:ascii="Arial" w:cs="Arial" w:eastAsia="Arial" w:hAnsi="Arial"/>
          <w:color w:val="4B5563"/>
          <w:sz w:val="20"/>
          <w:szCs w:val="20"/>
        </w:rPr>
        <w:t xml:space="preserve">Willow Inpatient / Beacon Oncology</w:t>
      </w:r>
    </w:p>
    <w:p>
      <w:pPr>
        <w:spacing w:after="80"/>
      </w:pPr>
      <w:r>
        <w:rPr>
          <w:rFonts w:ascii="Arial" w:cs="Arial" w:eastAsia="Arial" w:hAnsi="Arial"/>
          <w:b/>
          <w:bCs/>
          <w:color w:val="1B3A5C"/>
          <w:sz w:val="20"/>
          <w:szCs w:val="20"/>
        </w:rPr>
        <w:t xml:space="preserve">Alert Type: </w:t>
      </w:r>
      <w:r>
        <w:rPr>
          <w:rFonts w:ascii="Arial" w:cs="Arial" w:eastAsia="Arial" w:hAnsi="Arial"/>
          <w:color w:val="4B5563"/>
          <w:sz w:val="20"/>
          <w:szCs w:val="20"/>
        </w:rPr>
        <w:t xml:space="preserve">Hard Stop — Override permitted with oncology pharmacist review and 50% dose reduction documentation</w:t>
      </w:r>
    </w:p>
    <w:p>
      <w:pPr>
        <w:spacing w:after="80"/>
      </w:pPr>
      <w:r>
        <w:rPr>
          <w:rFonts w:ascii="Arial" w:cs="Arial" w:eastAsia="Arial" w:hAnsi="Arial"/>
          <w:b/>
          <w:bCs/>
          <w:color w:val="1B3A5C"/>
          <w:sz w:val="20"/>
          <w:szCs w:val="20"/>
        </w:rPr>
        <w:t xml:space="preserve">Author: </w:t>
      </w:r>
      <w:r>
        <w:rPr>
          <w:rFonts w:ascii="Arial" w:cs="Arial" w:eastAsia="Arial" w:hAnsi="Arial"/>
          <w:color w:val="4B5563"/>
          <w:sz w:val="20"/>
          <w:szCs w:val="20"/>
        </w:rPr>
        <w:t xml:space="preserve">Kristina Ankrah, Healthcare IT Analyst</w:t>
      </w:r>
    </w:p>
    <w:p>
      <w:pPr>
        <w:spacing w:after="80"/>
      </w:pPr>
      <w:r>
        <w:rPr>
          <w:rFonts w:ascii="Arial" w:cs="Arial" w:eastAsia="Arial" w:hAnsi="Arial"/>
          <w:b/>
          <w:bCs/>
          <w:color w:val="1B3A5C"/>
          <w:sz w:val="20"/>
          <w:szCs w:val="20"/>
        </w:rPr>
        <w:t xml:space="preserve">Clinical Source: </w:t>
      </w:r>
      <w:r>
        <w:rPr>
          <w:rFonts w:ascii="Arial" w:cs="Arial" w:eastAsia="Arial" w:hAnsi="Arial"/>
          <w:color w:val="4B5563"/>
          <w:sz w:val="20"/>
          <w:szCs w:val="20"/>
        </w:rPr>
        <w:t xml:space="preserve">CPIC Guideline for Fluoropyrimidines and DPYD — Evidence Level A</w:t>
      </w:r>
    </w:p>
    <w:p>
      <w:pPr>
        <w:spacing w:after="80"/>
      </w:pPr>
      <w:r>
        <w:rPr>
          <w:rFonts w:ascii="Arial" w:cs="Arial" w:eastAsia="Arial" w:hAnsi="Arial"/>
          <w:b/>
          <w:bCs/>
          <w:color w:val="1B3A5C"/>
          <w:sz w:val="20"/>
          <w:szCs w:val="20"/>
        </w:rPr>
        <w:t xml:space="preserve">Status: </w:t>
      </w:r>
      <w:r>
        <w:rPr>
          <w:rFonts w:ascii="Arial" w:cs="Arial" w:eastAsia="Arial" w:hAnsi="Arial"/>
          <w:color w:val="4B5563"/>
          <w:sz w:val="20"/>
          <w:szCs w:val="20"/>
        </w:rPr>
        <w:t xml:space="preserve">Draft — Pending clinical and pharmacy review</w:t>
      </w:r>
    </w:p>
    <w:p>
      <w:pPr>
        <w:pBdr>
          <w:bottom w:val="single" w:color="1B3A5C" w:sz="10" w:space="3"/>
        </w:pBdr>
        <w:spacing w:after="80" w:before="220"/>
      </w:pPr>
      <w:r>
        <w:rPr>
          <w:rFonts w:ascii="Arial" w:cs="Arial" w:eastAsia="Arial" w:hAnsi="Arial"/>
          <w:b/>
          <w:bCs/>
          <w:color w:val="1B3A5C"/>
          <w:spacing w:val="30"/>
          <w:sz w:val="22"/>
          <w:szCs w:val="22"/>
        </w:rPr>
        <w:t xml:space="preserve">2. Clinical Background and Purpose</w:t>
      </w:r>
    </w:p>
    <w:p>
      <w:pPr>
        <w:spacing w:after="120"/>
      </w:pPr>
      <w:r>
        <w:rPr>
          <w:rFonts w:ascii="Arial" w:cs="Arial" w:eastAsia="Arial" w:hAnsi="Arial"/>
          <w:color w:val="4B5563"/>
          <w:sz w:val="20"/>
          <w:szCs w:val="20"/>
        </w:rPr>
        <w:t xml:space="preserve">Fluorouracil (5-FU) and its oral prodrug capecitabine are among the most widely used chemotherapy agents, used in colorectal, breast, head and neck, and gastric cancers. They require the DPYD enzyme for clearance. DPYD Poor Metabolizers cannot clear fluorouracil — the drug accumulates to toxic levels causing severe mucositis, neutropenia, hand-foot syndrome, and potentially fatal toxicity even at standard doses.</w:t>
      </w:r>
    </w:p>
    <w:p>
      <w:pPr>
        <w:spacing w:after="120"/>
      </w:pPr>
      <w:r>
        <w:rPr>
          <w:rFonts w:ascii="Arial" w:cs="Arial" w:eastAsia="Arial" w:hAnsi="Arial"/>
          <w:color w:val="4B5563"/>
          <w:sz w:val="20"/>
          <w:szCs w:val="20"/>
        </w:rPr>
        <w:t xml:space="preserve">This is one of the highest-stakes pharmacogenomic alerts in oncology practice. The FDA updated fluorouracil labeling in 2022 to recommend DPYD testing before treatment. CPIC classifies the recommendation as Level A. Even heterozygous carriers (*2A/*1 — intermediate metabolizers) require dose reduction, though this specification focuses on the Poor Metabolizer (*2A/*2A) population.</w:t>
      </w:r>
    </w:p>
    <w:p>
      <w:pPr>
        <w:spacing w:after="120"/>
      </w:pPr>
      <w:r>
        <w:rPr>
          <w:rFonts w:ascii="Arial" w:cs="Arial" w:eastAsia="Arial" w:hAnsi="Arial"/>
          <w:color w:val="4B5563"/>
          <w:sz w:val="20"/>
          <w:szCs w:val="20"/>
        </w:rPr>
        <w:t xml:space="preserve">Stellar nucleosynthesis connection from project framework: the phosphorus and sulfur forged in massive stellar cores form the phosphodiester backbone of the DPYD gene itself. A single nucleotide variant in that stellar-forged DNA sequence — one base pair changed — abolishes an enzyme and makes a standard chemotherapy dose potentially fatal. The Big Bang to the bedside, in one gene.</w:t>
      </w:r>
    </w:p>
    <w:p>
      <w:pPr>
        <w:pBdr>
          <w:bottom w:val="single" w:color="1B3A5C" w:sz="10" w:space="3"/>
        </w:pBdr>
        <w:spacing w:after="80" w:before="220"/>
      </w:pPr>
      <w:r>
        <w:rPr>
          <w:rFonts w:ascii="Arial" w:cs="Arial" w:eastAsia="Arial" w:hAnsi="Arial"/>
          <w:b/>
          <w:bCs/>
          <w:color w:val="1B3A5C"/>
          <w:spacing w:val="30"/>
          <w:sz w:val="22"/>
          <w:szCs w:val="22"/>
        </w:rPr>
        <w:t xml:space="preserve">3. Alert Trigger Conditions</w:t>
      </w:r>
    </w:p>
    <w:p>
      <w:pPr>
        <w:pStyle w:val="ListParagraph"/>
        <w:numPr>
          <w:ilvl w:val="0"/>
          <w:numId w:val="2"/>
        </w:numPr>
        <w:spacing w:after="60"/>
      </w:pPr>
      <w:r>
        <w:rPr>
          <w:rFonts w:ascii="Arial" w:cs="Arial" w:eastAsia="Arial" w:hAnsi="Arial"/>
          <w:color w:val="4B5563"/>
          <w:sz w:val="20"/>
          <w:szCs w:val="20"/>
        </w:rPr>
        <w:t xml:space="preserve">A fluorouracil (5-FU) or capecitabine order is initiated in Willow Inpatient or Beacon Oncology</w:t>
      </w:r>
    </w:p>
    <w:p>
      <w:pPr>
        <w:pStyle w:val="ListParagraph"/>
        <w:numPr>
          <w:ilvl w:val="0"/>
          <w:numId w:val="2"/>
        </w:numPr>
        <w:spacing w:after="60"/>
      </w:pPr>
      <w:r>
        <w:rPr>
          <w:rFonts w:ascii="Arial" w:cs="Arial" w:eastAsia="Arial" w:hAnsi="Arial"/>
          <w:color w:val="4B5563"/>
          <w:sz w:val="20"/>
          <w:szCs w:val="20"/>
        </w:rPr>
        <w:t xml:space="preserve">The patient's discrete genomic data contains a documented DPYD result</w:t>
      </w:r>
    </w:p>
    <w:p>
      <w:pPr>
        <w:pStyle w:val="ListParagraph"/>
        <w:numPr>
          <w:ilvl w:val="0"/>
          <w:numId w:val="2"/>
        </w:numPr>
        <w:spacing w:after="60"/>
      </w:pPr>
      <w:r>
        <w:rPr>
          <w:rFonts w:ascii="Arial" w:cs="Arial" w:eastAsia="Arial" w:hAnsi="Arial"/>
          <w:color w:val="4B5563"/>
          <w:sz w:val="20"/>
          <w:szCs w:val="20"/>
        </w:rPr>
        <w:t xml:space="preserve">The DPYD result maps to Poor Metabolizer phenotype (*2A/*2A or equivalent fully non-functional diplotype)</w:t>
      </w:r>
    </w:p>
    <w:p>
      <w:pPr>
        <w:pStyle w:val="ListParagraph"/>
        <w:numPr>
          <w:ilvl w:val="0"/>
          <w:numId w:val="2"/>
        </w:numPr>
        <w:spacing w:after="60"/>
      </w:pPr>
      <w:r>
        <w:rPr>
          <w:rFonts w:ascii="Arial" w:cs="Arial" w:eastAsia="Arial" w:hAnsi="Arial"/>
          <w:color w:val="4B5563"/>
          <w:sz w:val="20"/>
          <w:szCs w:val="20"/>
        </w:rPr>
        <w:t xml:space="preserve">The order dose has not been reviewed and documented by an oncology pharmacist in the current encounter</w:t>
      </w:r>
    </w:p>
    <w:p>
      <w:pPr>
        <w:pBdr>
          <w:bottom w:val="single" w:color="1B3A5C" w:sz="10" w:space="3"/>
        </w:pBdr>
        <w:spacing w:after="80" w:before="220"/>
      </w:pPr>
      <w:r>
        <w:rPr>
          <w:rFonts w:ascii="Arial" w:cs="Arial" w:eastAsia="Arial" w:hAnsi="Arial"/>
          <w:b/>
          <w:bCs/>
          <w:color w:val="1B3A5C"/>
          <w:spacing w:val="30"/>
          <w:sz w:val="22"/>
          <w:szCs w:val="22"/>
        </w:rPr>
        <w:t xml:space="preserve">4. Alert Display — Simulated Willow CDS Hard Stop</w:t>
      </w:r>
    </w:p>
    <w:p>
      <w:pPr>
        <w:spacing w:after="120" w:before="120"/>
      </w:pPr>
      <w:r>
        <w:t xml:space="preserve"/>
      </w:r>
    </w:p>
    <w:tbl>
      <w:tblPr>
        <w:tblW w:type="dxa" w:w="9360"/>
        <w:tblBorders>
          <w:top w:val="single" w:color="991B1B" w:sz="4"/>
          <w:left w:val="single" w:color="991B1B" w:sz="4"/>
          <w:bottom w:val="single" w:color="991B1B" w:sz="4"/>
          <w:right w:val="single" w:color="991B1B" w:sz="4"/>
          <w:insideH w:val="single" w:color="auto" w:sz="4"/>
          <w:insideV w:val="single" w:color="auto" w:sz="4"/>
        </w:tblBorders>
      </w:tblPr>
      <w:tblGrid>
        <w:gridCol w:w="9360"/>
      </w:tblGrid>
      <w:tr>
        <w:tc>
          <w:tcPr>
            <w:tcW w:type="dxa" w:w="9360"/>
            <w:tcBorders>
              <w:top w:val="single" w:color="991B1B" w:sz="4"/>
              <w:left w:val="single" w:color="991B1B" w:sz="4"/>
              <w:bottom w:val="single" w:color="991B1B" w:sz="4"/>
              <w:right w:val="single" w:color="991B1B" w:sz="4"/>
            </w:tcBorders>
            <w:shd w:fill="FEE2E2" w:val="clear"/>
            <w:tcMar>
              <w:top w:type="dxa" w:w="120"/>
              <w:left w:type="dxa" w:w="160"/>
              <w:bottom w:type="dxa" w:w="120"/>
              <w:right w:type="dxa" w:w="160"/>
            </w:tcMar>
          </w:tcPr>
          <w:p>
            <w:pPr>
              <w:spacing w:after="60"/>
            </w:pPr>
            <w:r>
              <w:rPr>
                <w:rFonts w:ascii="Arial" w:cs="Arial" w:eastAsia="Arial" w:hAnsi="Arial"/>
                <w:b/>
                <w:bCs/>
                <w:color w:val="991B1B"/>
                <w:sz w:val="22"/>
                <w:szCs w:val="22"/>
              </w:rPr>
              <w:t xml:space="preserve">HARD STOP — Fluorouracil Order Requires Oncology Pharmacist Review — DPYD Poor Metabolizer</w:t>
            </w:r>
          </w:p>
          <w:p>
            <w:pPr>
              <w:spacing w:after="0"/>
            </w:pPr>
            <w:r>
              <w:rPr>
                <w:rFonts w:ascii="Arial" w:cs="Arial" w:eastAsia="Arial" w:hAnsi="Arial"/>
                <w:color w:val="991B1B"/>
                <w:sz w:val="20"/>
                <w:szCs w:val="20"/>
              </w:rPr>
              <w:t xml:space="preserve">Patient genomic data indicates DPYD Poor Metabolizer status (*2A/*2A). Standard fluorouracil and capecitabine doses will accumulate to toxic levels in this patient, causing severe mucositis, neutropenia, and potentially fatal toxicity. Starting dose must be reduced by minimum 50%. This order requires oncology pharmacist review, dose adjustment documentation, and co-sign before processing. Do not administer at standard dose. Reference: CPIC Guideline for Fluoropyrimidines and DPYD — Level A. Contact oncology pharmacy immediately.</w:t>
            </w:r>
          </w:p>
        </w:tc>
      </w:tr>
    </w:tbl>
    <w:p>
      <w:pPr>
        <w:spacing w:after="80" w:before="120"/>
      </w:pPr>
      <w:r>
        <w:t xml:space="preserve"/>
      </w:r>
    </w:p>
    <w:p>
      <w:pPr>
        <w:spacing w:after="80"/>
      </w:pPr>
      <w:r>
        <w:rPr>
          <w:rFonts w:ascii="Arial" w:cs="Arial" w:eastAsia="Arial" w:hAnsi="Arial"/>
          <w:b/>
          <w:bCs/>
          <w:color w:val="1B3A5C"/>
          <w:sz w:val="20"/>
          <w:szCs w:val="20"/>
        </w:rPr>
        <w:t xml:space="preserve">Override permitted: </w:t>
      </w:r>
      <w:r>
        <w:rPr>
          <w:rFonts w:ascii="Arial" w:cs="Arial" w:eastAsia="Arial" w:hAnsi="Arial"/>
          <w:color w:val="4B5563"/>
          <w:sz w:val="20"/>
          <w:szCs w:val="20"/>
        </w:rPr>
        <w:t xml:space="preserve">Yes — oncology pharmacist co-sign required with documented 50% minimum dose reduction and toxicity monitoring plan</w:t>
      </w:r>
    </w:p>
    <w:p>
      <w:pPr>
        <w:spacing w:after="80"/>
      </w:pPr>
      <w:r>
        <w:rPr>
          <w:rFonts w:ascii="Arial" w:cs="Arial" w:eastAsia="Arial" w:hAnsi="Arial"/>
          <w:b/>
          <w:bCs/>
          <w:color w:val="1B3A5C"/>
          <w:sz w:val="20"/>
          <w:szCs w:val="20"/>
        </w:rPr>
        <w:t xml:space="preserve">Override requirement: </w:t>
      </w:r>
      <w:r>
        <w:rPr>
          <w:rFonts w:ascii="Arial" w:cs="Arial" w:eastAsia="Arial" w:hAnsi="Arial"/>
          <w:color w:val="4B5563"/>
          <w:sz w:val="20"/>
          <w:szCs w:val="20"/>
        </w:rPr>
        <w:t xml:space="preserve">Pharmacist must document: (1) DPYD PM status acknowledged, (2) dose reduced by minimum 50%, (3) enhanced toxicity monitoring plan, (4) patient counseling completed</w:t>
      </w:r>
    </w:p>
    <w:p>
      <w:pPr>
        <w:spacing w:after="80"/>
      </w:pPr>
      <w:r>
        <w:rPr>
          <w:rFonts w:ascii="Arial" w:cs="Arial" w:eastAsia="Arial" w:hAnsi="Arial"/>
          <w:b/>
          <w:bCs/>
          <w:color w:val="1B3A5C"/>
          <w:sz w:val="20"/>
          <w:szCs w:val="20"/>
        </w:rPr>
        <w:t xml:space="preserve">Button options: </w:t>
      </w:r>
      <w:r>
        <w:rPr>
          <w:rFonts w:ascii="Arial" w:cs="Arial" w:eastAsia="Arial" w:hAnsi="Arial"/>
          <w:color w:val="4B5563"/>
          <w:sz w:val="20"/>
          <w:szCs w:val="20"/>
        </w:rPr>
        <w:t xml:space="preserve">"Route for Oncology Pharmacist Review" (primary) | "Cancel Order" (secondary) | "View CPIC Guideline"</w:t>
      </w:r>
    </w:p>
    <w:p>
      <w:pPr>
        <w:pBdr>
          <w:bottom w:val="single" w:color="1B3A5C" w:sz="10" w:space="3"/>
        </w:pBdr>
        <w:spacing w:after="80" w:before="220"/>
      </w:pPr>
      <w:r>
        <w:rPr>
          <w:rFonts w:ascii="Arial" w:cs="Arial" w:eastAsia="Arial" w:hAnsi="Arial"/>
          <w:b/>
          <w:bCs/>
          <w:color w:val="1B3A5C"/>
          <w:spacing w:val="30"/>
          <w:sz w:val="22"/>
          <w:szCs w:val="22"/>
        </w:rPr>
        <w:t xml:space="preserve">5. Build Requirements</w:t>
      </w:r>
    </w:p>
    <w:p>
      <w:pPr>
        <w:spacing w:after="60" w:before="100"/>
      </w:pPr>
      <w:r>
        <w:rPr>
          <w:rFonts w:ascii="Arial" w:cs="Arial" w:eastAsia="Arial" w:hAnsi="Arial"/>
          <w:b/>
          <w:bCs/>
          <w:color w:val="1B3A5C"/>
          <w:sz w:val="20"/>
          <w:szCs w:val="20"/>
        </w:rPr>
        <w:t xml:space="preserve">5.1  Medication grouper</w:t>
      </w:r>
    </w:p>
    <w:p>
      <w:pPr>
        <w:pStyle w:val="ListParagraph"/>
        <w:numPr>
          <w:ilvl w:val="0"/>
          <w:numId w:val="2"/>
        </w:numPr>
        <w:spacing w:after="60"/>
      </w:pPr>
      <w:r>
        <w:rPr>
          <w:rFonts w:ascii="Arial" w:cs="Arial" w:eastAsia="Arial" w:hAnsi="Arial"/>
          <w:color w:val="4B5563"/>
          <w:sz w:val="20"/>
          <w:szCs w:val="20"/>
        </w:rPr>
        <w:t xml:space="preserve">Create GROUPER-FLUOROPYRIMIDINES containing: fluorouracil IV (all concentrations and infusion durations), capecitabine oral, tegafur-containing combinations</w:t>
      </w:r>
    </w:p>
    <w:p>
      <w:pPr>
        <w:pStyle w:val="ListParagraph"/>
        <w:numPr>
          <w:ilvl w:val="0"/>
          <w:numId w:val="2"/>
        </w:numPr>
        <w:spacing w:after="60"/>
      </w:pPr>
      <w:r>
        <w:rPr>
          <w:rFonts w:ascii="Arial" w:cs="Arial" w:eastAsia="Arial" w:hAnsi="Arial"/>
          <w:color w:val="4B5563"/>
          <w:sz w:val="20"/>
          <w:szCs w:val="20"/>
        </w:rPr>
        <w:t xml:space="preserve">Note: Fluorouracil appears across multiple Beacon regimens — coordinate with Beacon analyst to ensure all regimen-linked orderable items are captured in grouper</w:t>
      </w:r>
    </w:p>
    <w:p>
      <w:pPr>
        <w:spacing w:after="60" w:before="100"/>
      </w:pPr>
      <w:r>
        <w:rPr>
          <w:rFonts w:ascii="Arial" w:cs="Arial" w:eastAsia="Arial" w:hAnsi="Arial"/>
          <w:b/>
          <w:bCs/>
          <w:color w:val="1B3A5C"/>
          <w:sz w:val="20"/>
          <w:szCs w:val="20"/>
        </w:rPr>
        <w:t xml:space="preserve">5.2  Genomic result mapping</w:t>
      </w:r>
    </w:p>
    <w:p>
      <w:pPr>
        <w:pStyle w:val="ListParagraph"/>
        <w:numPr>
          <w:ilvl w:val="0"/>
          <w:numId w:val="2"/>
        </w:numPr>
        <w:spacing w:after="60"/>
      </w:pPr>
      <w:r>
        <w:rPr>
          <w:rFonts w:ascii="Arial" w:cs="Arial" w:eastAsia="Arial" w:hAnsi="Arial"/>
          <w:color w:val="4B5563"/>
          <w:sz w:val="20"/>
          <w:szCs w:val="20"/>
        </w:rPr>
        <w:t xml:space="preserve">Map DPYD non-functional alleles to Poor Metabolizer: *2A (c.1905+1G&gt;A), *13 (c.1679T&gt;G), p.D949V, HapB3</w:t>
      </w:r>
    </w:p>
    <w:p>
      <w:pPr>
        <w:pStyle w:val="ListParagraph"/>
        <w:numPr>
          <w:ilvl w:val="0"/>
          <w:numId w:val="2"/>
        </w:numPr>
        <w:spacing w:after="60"/>
      </w:pPr>
      <w:r>
        <w:rPr>
          <w:rFonts w:ascii="Arial" w:cs="Arial" w:eastAsia="Arial" w:hAnsi="Arial"/>
          <w:color w:val="4B5563"/>
          <w:sz w:val="20"/>
          <w:szCs w:val="20"/>
        </w:rPr>
        <w:t xml:space="preserve">Note: DPYD variant nomenclature varies across reference laboratories — confirm interface mapping with laboratory informatics before build</w:t>
      </w:r>
    </w:p>
    <w:p>
      <w:pPr>
        <w:spacing w:after="60" w:before="100"/>
      </w:pPr>
      <w:r>
        <w:rPr>
          <w:rFonts w:ascii="Arial" w:cs="Arial" w:eastAsia="Arial" w:hAnsi="Arial"/>
          <w:b/>
          <w:bCs/>
          <w:color w:val="1B3A5C"/>
          <w:sz w:val="20"/>
          <w:szCs w:val="20"/>
        </w:rPr>
        <w:t xml:space="preserve">5.3  BPA configuration — oncology hard stop</w:t>
      </w:r>
    </w:p>
    <w:p>
      <w:pPr>
        <w:pStyle w:val="ListParagraph"/>
        <w:numPr>
          <w:ilvl w:val="0"/>
          <w:numId w:val="2"/>
        </w:numPr>
        <w:spacing w:after="60"/>
      </w:pPr>
      <w:r>
        <w:rPr>
          <w:rFonts w:ascii="Arial" w:cs="Arial" w:eastAsia="Arial" w:hAnsi="Arial"/>
          <w:color w:val="4B5563"/>
          <w:sz w:val="20"/>
          <w:szCs w:val="20"/>
        </w:rPr>
        <w:t xml:space="preserve">Alert type: Hard Stop with oncology pharmacist co-sign override</w:t>
      </w:r>
    </w:p>
    <w:p>
      <w:pPr>
        <w:pStyle w:val="ListParagraph"/>
        <w:numPr>
          <w:ilvl w:val="0"/>
          <w:numId w:val="2"/>
        </w:numPr>
        <w:spacing w:after="60"/>
      </w:pPr>
      <w:r>
        <w:rPr>
          <w:rFonts w:ascii="Arial" w:cs="Arial" w:eastAsia="Arial" w:hAnsi="Arial"/>
          <w:color w:val="4B5563"/>
          <w:sz w:val="20"/>
          <w:szCs w:val="20"/>
        </w:rPr>
        <w:t xml:space="preserve">Logic: IF medication IN GROUPER-FLUOROPYRIMIDINES AND DPYD phenotype = Poor Metabolizer THEN fire hard stop</w:t>
      </w:r>
    </w:p>
    <w:p>
      <w:pPr>
        <w:pStyle w:val="ListParagraph"/>
        <w:numPr>
          <w:ilvl w:val="0"/>
          <w:numId w:val="2"/>
        </w:numPr>
        <w:spacing w:after="60"/>
      </w:pPr>
      <w:r>
        <w:rPr>
          <w:rFonts w:ascii="Arial" w:cs="Arial" w:eastAsia="Arial" w:hAnsi="Arial"/>
          <w:color w:val="4B5563"/>
          <w:sz w:val="20"/>
          <w:szCs w:val="20"/>
        </w:rPr>
        <w:t xml:space="preserve">Beacon integration: Alert must fire within Beacon regimen ordering workflow, not only standalone Willow orders</w:t>
      </w:r>
    </w:p>
    <w:p>
      <w:pPr>
        <w:pStyle w:val="ListParagraph"/>
        <w:numPr>
          <w:ilvl w:val="0"/>
          <w:numId w:val="2"/>
        </w:numPr>
        <w:spacing w:after="60"/>
      </w:pPr>
      <w:r>
        <w:rPr>
          <w:rFonts w:ascii="Arial" w:cs="Arial" w:eastAsia="Arial" w:hAnsi="Arial"/>
          <w:color w:val="4B5563"/>
          <w:sz w:val="20"/>
          <w:szCs w:val="20"/>
        </w:rPr>
        <w:t xml:space="preserve">Override: Oncology pharmacist co-sign with four required documentation fields — standard override reason insufficient</w:t>
      </w:r>
    </w:p>
    <w:p>
      <w:pPr>
        <w:pBdr>
          <w:bottom w:val="single" w:color="1B3A5C" w:sz="10" w:space="3"/>
        </w:pBdr>
        <w:spacing w:after="80" w:before="220"/>
      </w:pPr>
      <w:r>
        <w:rPr>
          <w:rFonts w:ascii="Arial" w:cs="Arial" w:eastAsia="Arial" w:hAnsi="Arial"/>
          <w:b/>
          <w:bCs/>
          <w:color w:val="1B3A5C"/>
          <w:spacing w:val="30"/>
          <w:sz w:val="22"/>
          <w:szCs w:val="22"/>
        </w:rPr>
        <w:t xml:space="preserve">6. Testing Scenarios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Test scenario</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Input / patient state</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Expected system behavior</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bCs/>
                <w:color w:val="1B3A5C"/>
                <w:sz w:val="18"/>
                <w:szCs w:val="18"/>
              </w:rPr>
              <w:t xml:space="preserve">Result</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patient — 5-FU IV standard dose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DPYD *2A/*2A + 5-FU 400mg/m2 bolus order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Hard stop fires — pharmacist review required</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patient — capecitabine order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DPYD *2A/*2A + capecitabine 1250mg/m2 order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Hard stop fires — grouper includes capecitabine</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 pharmacist co-signs with dose reduction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50% dose reduction documented + co-sign complete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Order released for administration</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 Beacon regimen ordered</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DPYD *2A/*2A + FOLFOX regimen in Beacon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Hard stop fires within Beacon workflow</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NM patient orders 5-FU</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DPYD *1/*1 + 5-FU standard dose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No alert — order processes normally</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PM — co-sign without all 4 fields</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Partial documentation + co-sign attempted</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4B5563"/>
                <w:sz w:val="18"/>
                <w:szCs w:val="18"/>
              </w:rPr>
              <w:t xml:space="preserve">System requires all 4 fields — cannot release</w:t>
            </w:r>
          </w:p>
        </w:tc>
        <w:tc>
          <w:tcPr>
            <w:tcW w:type="dxa" w:w="156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bCs/>
                <w:color w:val="065F46"/>
                <w:sz w:val="18"/>
                <w:szCs w:val="18"/>
              </w:rPr>
              <w:t xml:space="preserve">PASS</w:t>
            </w:r>
          </w:p>
        </w:tc>
      </w:tr>
    </w:tbl>
    <w:p>
      <w:pPr>
        <w:pBdr>
          <w:bottom w:val="single" w:color="1B3A5C" w:sz="10" w:space="3"/>
        </w:pBdr>
        <w:spacing w:after="80" w:before="220"/>
      </w:pPr>
      <w:r>
        <w:rPr>
          <w:rFonts w:ascii="Arial" w:cs="Arial" w:eastAsia="Arial" w:hAnsi="Arial"/>
          <w:b/>
          <w:bCs/>
          <w:color w:val="1B3A5C"/>
          <w:spacing w:val="30"/>
          <w:sz w:val="22"/>
          <w:szCs w:val="22"/>
        </w:rPr>
        <w:t xml:space="preserve">7. Review and Sign-Off</w:t>
      </w:r>
    </w:p>
    <w:p>
      <w:pPr>
        <w:spacing w:after="80"/>
      </w:pPr>
      <w:r>
        <w:rPr>
          <w:rFonts w:ascii="Arial" w:cs="Arial" w:eastAsia="Arial" w:hAnsi="Arial"/>
          <w:b/>
          <w:bCs/>
          <w:color w:val="1B3A5C"/>
          <w:sz w:val="20"/>
          <w:szCs w:val="20"/>
        </w:rPr>
        <w:t xml:space="preserve">Oncology Pharmacy Review: </w:t>
      </w:r>
      <w:r>
        <w:rPr>
          <w:rFonts w:ascii="Arial" w:cs="Arial" w:eastAsia="Arial" w:hAnsi="Arial"/>
          <w:color w:val="4B5563"/>
          <w:sz w:val="20"/>
          <w:szCs w:val="20"/>
        </w:rPr>
        <w:t xml:space="preserve">Pending — Oncology Clinical Pharmacist</w:t>
      </w:r>
    </w:p>
    <w:p>
      <w:pPr>
        <w:spacing w:after="80"/>
      </w:pPr>
      <w:r>
        <w:rPr>
          <w:rFonts w:ascii="Arial" w:cs="Arial" w:eastAsia="Arial" w:hAnsi="Arial"/>
          <w:b/>
          <w:bCs/>
          <w:color w:val="1B3A5C"/>
          <w:sz w:val="20"/>
          <w:szCs w:val="20"/>
        </w:rPr>
        <w:t xml:space="preserve">Oncology Physician Champion: </w:t>
      </w:r>
      <w:r>
        <w:rPr>
          <w:rFonts w:ascii="Arial" w:cs="Arial" w:eastAsia="Arial" w:hAnsi="Arial"/>
          <w:color w:val="4B5563"/>
          <w:sz w:val="20"/>
          <w:szCs w:val="20"/>
        </w:rPr>
        <w:t xml:space="preserve">Pending — Medical Oncologist</w:t>
      </w:r>
    </w:p>
    <w:p>
      <w:pPr>
        <w:spacing w:after="80"/>
      </w:pPr>
      <w:r>
        <w:rPr>
          <w:rFonts w:ascii="Arial" w:cs="Arial" w:eastAsia="Arial" w:hAnsi="Arial"/>
          <w:b/>
          <w:bCs/>
          <w:color w:val="1B3A5C"/>
          <w:sz w:val="20"/>
          <w:szCs w:val="20"/>
        </w:rPr>
        <w:t xml:space="preserve">Beacon Analyst Coordination: </w:t>
      </w:r>
      <w:r>
        <w:rPr>
          <w:rFonts w:ascii="Arial" w:cs="Arial" w:eastAsia="Arial" w:hAnsi="Arial"/>
          <w:color w:val="4B5563"/>
          <w:sz w:val="20"/>
          <w:szCs w:val="20"/>
        </w:rPr>
        <w:t xml:space="preserve">Pending — Beacon Application Analyst</w:t>
      </w:r>
    </w:p>
    <w:p>
      <w:pPr>
        <w:spacing w:after="80"/>
      </w:pPr>
      <w:r>
        <w:rPr>
          <w:rFonts w:ascii="Arial" w:cs="Arial" w:eastAsia="Arial" w:hAnsi="Arial"/>
          <w:b/>
          <w:bCs/>
          <w:color w:val="1B3A5C"/>
          <w:sz w:val="20"/>
          <w:szCs w:val="20"/>
        </w:rPr>
        <w:t xml:space="preserve">Epic Analyst Build Sign-off: </w:t>
      </w:r>
      <w:r>
        <w:rPr>
          <w:rFonts w:ascii="Arial" w:cs="Arial" w:eastAsia="Arial" w:hAnsi="Arial"/>
          <w:color w:val="4B5563"/>
          <w:sz w:val="20"/>
          <w:szCs w:val="20"/>
        </w:rPr>
        <w:t xml:space="preserve">Pending — Willow Application Analyst</w:t>
      </w:r>
    </w:p>
    <w:p>
      <w:pPr>
        <w:spacing w:after="80"/>
      </w:pPr>
      <w:r>
        <w:rPr>
          <w:rFonts w:ascii="Arial" w:cs="Arial" w:eastAsia="Arial" w:hAnsi="Arial"/>
          <w:b/>
          <w:bCs/>
          <w:color w:val="1B3A5C"/>
          <w:sz w:val="20"/>
          <w:szCs w:val="20"/>
        </w:rPr>
        <w:t xml:space="preserve">Go-Live Approval: </w:t>
      </w:r>
      <w:r>
        <w:rPr>
          <w:rFonts w:ascii="Arial" w:cs="Arial" w:eastAsia="Arial" w:hAnsi="Arial"/>
          <w:color w:val="4B5563"/>
          <w:sz w:val="20"/>
          <w:szCs w:val="20"/>
        </w:rPr>
        <w:t xml:space="preserve">Pending — CMIO / Oncology Medical Director</w:t>
      </w:r>
    </w:p>
    <w:p>
      <w:pPr>
        <w:pBdr>
          <w:top w:val="single" w:color="D1D5DB" w:sz="4" w:space="8"/>
        </w:pBdr>
        <w:spacing w:after="0" w:before="200"/>
      </w:pPr>
      <w:r>
        <w:rPr>
          <w:rFonts w:ascii="Arial" w:cs="Arial" w:eastAsia="Arial" w:hAnsi="Arial"/>
          <w:i/>
          <w:iCs/>
          <w:color w:val="9CA3AF"/>
          <w:sz w:val="17"/>
          <w:szCs w:val="17"/>
        </w:rPr>
        <w:t xml:space="preserve">This functional specification was produced as part of the "From the Big Bang to the Bedside" pharmacogenomics informatics project. github.com/IT-Professional-Kristina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2026-04-24T20:35:23.689Z</dcterms:created>
  <dcterms:modified xsi:type="dcterms:W3CDTF">2026-04-24T20:35:23.689Z</dcterms:modified>
</cp:coreProperties>
</file>

<file path=docProps/custom.xml><?xml version="1.0" encoding="utf-8"?>
<Properties xmlns="http://schemas.openxmlformats.org/officeDocument/2006/custom-properties" xmlns:vt="http://schemas.openxmlformats.org/officeDocument/2006/docPropsVTypes"/>
</file>