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30.png" ContentType="image/png"/>
  <Override PartName="/word/media/rId36.png" ContentType="image/png"/>
  <Override PartName="/word/media/rId4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rquitectura-rendición-sg"/>
    <w:p>
      <w:pPr>
        <w:pStyle w:val="Heading1"/>
      </w:pPr>
      <w:r>
        <w:t xml:space="preserve">Arquitectura — Rendición SG</w:t>
      </w:r>
    </w:p>
    <w:p>
      <w:pPr>
        <w:pStyle w:val="BlockText"/>
      </w:pPr>
      <w:r>
        <w:t xml:space="preserve">Plataforma interna de SouthGenetics para carga, aprobación, pago y rendición de gastos y anticipos. Producción: https://rendicion.southgenetics.com</w:t>
      </w:r>
    </w:p>
    <w:bookmarkStart w:id="28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Rendición SG es una aplicación web interna construida sobre</w:t>
      </w:r>
      <w:r>
        <w:t xml:space="preserve"> </w:t>
      </w:r>
      <w:r>
        <w:rPr>
          <w:bCs/>
          <w:b/>
        </w:rPr>
        <w:t xml:space="preserve">Next.js 16 (App Router)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como backend (Postgres + Auth + Storage + Realtime). Permite a empleados de SouthGenetics y Pacific Genomics cargar gastos semanales, agruparlos en una</w:t>
      </w:r>
      <w:r>
        <w:t xml:space="preserve"> </w:t>
      </w:r>
      <w:r>
        <w:t xml:space="preserve">“</w:t>
      </w:r>
      <w:r>
        <w:t xml:space="preserve">rendición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weekly_reports</w:t>
      </w:r>
      <w:r>
        <w:t xml:space="preserve">), enviarla a un aprobador, y que un pagador registre el pago. En paralelo existe un módulo de</w:t>
      </w:r>
      <w:r>
        <w:t xml:space="preserve"> </w:t>
      </w:r>
      <w:r>
        <w:rPr>
          <w:bCs/>
          <w:b/>
        </w:rPr>
        <w:t xml:space="preserve">anticipos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advances</w:t>
      </w:r>
      <w:r>
        <w:t xml:space="preserve">) que, al pagarse, genera automáticamente una rendición vinculada para su posterior liquidación.</w:t>
      </w:r>
    </w:p>
    <w:p>
      <w:pPr>
        <w:pStyle w:val="BodyText"/>
      </w:pPr>
      <w:r>
        <w:t xml:space="preserve">La lógica de negocio vive casi enteramente en</w:t>
      </w:r>
      <w:r>
        <w:t xml:space="preserve"> </w:t>
      </w:r>
      <w:r>
        <w:rPr>
          <w:bCs/>
          <w:b/>
        </w:rPr>
        <w:t xml:space="preserve">Server Actions</w:t>
      </w:r>
      <w:r>
        <w:t xml:space="preserve"> </w:t>
      </w:r>
      <w:r>
        <w:t xml:space="preserve">de Next.js que mutan Postgres directamente vía el cliente de Supabase (con políticas</w:t>
      </w:r>
      <w:r>
        <w:t xml:space="preserve"> </w:t>
      </w:r>
      <w:r>
        <w:rPr>
          <w:bCs/>
          <w:b/>
        </w:rPr>
        <w:t xml:space="preserve">RLS</w:t>
      </w:r>
      <w:r>
        <w:t xml:space="preserve"> </w:t>
      </w:r>
      <w:r>
        <w:t xml:space="preserve">como segunda capa de control). Cada transición de estado relevante (envío, aprobación, pago, anticipo) dispara un</w:t>
      </w:r>
      <w:r>
        <w:t xml:space="preserve"> </w:t>
      </w:r>
      <w:r>
        <w:rPr>
          <w:bCs/>
          <w:b/>
        </w:rPr>
        <w:t xml:space="preserve">webhook a n8n</w:t>
      </w:r>
      <w:r>
        <w:t xml:space="preserve">, que se encarga de notificaciones por email y — cuando el medio de pago es</w:t>
      </w:r>
      <w:r>
        <w:t xml:space="preserve"> </w:t>
      </w:r>
      <w:r>
        <w:rPr>
          <w:rStyle w:val="VerbatimChar"/>
        </w:rPr>
        <w:t xml:space="preserve">employee_paid</w:t>
      </w:r>
      <w:r>
        <w:t xml:space="preserve"> </w:t>
      </w:r>
      <w:r>
        <w:t xml:space="preserve">— de crear el asiento contable en</w:t>
      </w:r>
      <w:r>
        <w:t xml:space="preserve"> </w:t>
      </w:r>
      <w:r>
        <w:rPr>
          <w:bCs/>
          <w:b/>
        </w:rPr>
        <w:t xml:space="preserve">Odoo</w:t>
      </w:r>
      <w:r>
        <w:t xml:space="preserve">. n8n llama de vuelta a un endpoint interno (</w:t>
      </w:r>
      <w:r>
        <w:rPr>
          <w:rStyle w:val="VerbatimChar"/>
        </w:rPr>
        <w:t xml:space="preserve">PUT /api/reports/[id]/odoo-sync</w:t>
      </w:r>
      <w:r>
        <w:t xml:space="preserve">) para guardar el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resultante.</w:t>
      </w:r>
    </w:p>
    <w:p>
      <w:pPr>
        <w:pStyle w:val="BodyText"/>
      </w:pPr>
      <w:r>
        <w:t xml:space="preserve">El acceso está segmentado por</w:t>
      </w:r>
      <w:r>
        <w:t xml:space="preserve"> </w:t>
      </w:r>
      <w:r>
        <w:rPr>
          <w:bCs/>
          <w:b/>
        </w:rPr>
        <w:t xml:space="preserve">rol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reforzado tanto en middleware/Server Actions como en políticas RLS de Postgres. No hay backend separado: todo corre en el runtime de Next.js desplegado en Vercel.</w:t>
      </w:r>
    </w:p>
    <w:bookmarkStart w:id="23" w:name="diagrama-c4-contexto"/>
    <w:p>
      <w:pPr>
        <w:pStyle w:val="Heading3"/>
      </w:pPr>
      <w:r>
        <w:t xml:space="preserve">Diagrama C4 — Contexto</w:t>
      </w:r>
    </w:p>
    <w:p>
      <w:pPr>
        <w:pStyle w:val="FirstParagraph"/>
      </w:pPr>
      <w:r>
        <w:t xml:space="preserve">Quién interactúa con el sistema y con qué sistemas externos se comunica.</w:t>
      </w:r>
    </w:p>
    <w:p>
      <w:pPr>
        <w:pStyle w:val="CaptionedFigure"/>
      </w:pPr>
      <w:r>
        <w:drawing>
          <wp:inline>
            <wp:extent cx="5334000" cy="16702713"/>
            <wp:effectExtent b="0" l="0" r="0" t="0"/>
            <wp:docPr descr="Diagrama" title="" id="21" name="Picture"/>
            <a:graphic>
              <a:graphicData uri="http://schemas.openxmlformats.org/drawingml/2006/picture">
                <pic:pic>
                  <pic:nvPicPr>
                    <pic:cNvPr descr="/tmp/docx_build/images/ARCHITECTURE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2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3"/>
    <w:bookmarkStart w:id="27" w:name="diagrama-c4-contenedores"/>
    <w:p>
      <w:pPr>
        <w:pStyle w:val="Heading3"/>
      </w:pPr>
      <w:r>
        <w:t xml:space="preserve">Diagrama C4 — Contenedores</w:t>
      </w:r>
    </w:p>
    <w:p>
      <w:pPr>
        <w:pStyle w:val="FirstParagraph"/>
      </w:pPr>
      <w:r>
        <w:t xml:space="preserve">Cómo se descompone la aplicación en piezas desplegables y cómo se comunican.</w:t>
      </w:r>
    </w:p>
    <w:p>
      <w:pPr>
        <w:pStyle w:val="CaptionedFigure"/>
      </w:pPr>
      <w:r>
        <w:drawing>
          <wp:inline>
            <wp:extent cx="5334000" cy="12736979"/>
            <wp:effectExtent b="0" l="0" r="0" t="0"/>
            <wp:docPr descr="Diagrama" title="" id="25" name="Picture"/>
            <a:graphic>
              <a:graphicData uri="http://schemas.openxmlformats.org/drawingml/2006/picture">
                <pic:pic>
                  <pic:nvPicPr>
                    <pic:cNvPr descr="/tmp/docx_build/images/ARCHITECTURE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6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7"/>
    <w:bookmarkEnd w:id="28"/>
    <w:bookmarkStart w:id="29" w:name="stack-y-dependencias"/>
    <w:p>
      <w:pPr>
        <w:pStyle w:val="Heading2"/>
      </w:pPr>
      <w:r>
        <w:t xml:space="preserve">2. Stack y dependencias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accesibles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UI (</w:t>
            </w:r>
            <w:r>
              <w:rPr>
                <w:rStyle w:val="VerbatimChar"/>
              </w:rPr>
              <w:t xml:space="preserve">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^2.98 / ^0.9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date-fns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react-hot-toast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Automatización / orquestación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(self-hosted,</w:t>
            </w:r>
            <w:r>
              <w:t xml:space="preserve"> </w:t>
            </w:r>
            <w:r>
              <w:rPr>
                <w:rStyle w:val="VerbatimChar"/>
              </w:rPr>
              <w:t xml:space="preserve">n8n.srv908725.hstgr.cloud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(vía JSON-RPC, orquestado desde n8n)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hay un ORM: todas las queries usan el query builder de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contra los tipos generados en</w:t>
      </w:r>
      <w:r>
        <w:t xml:space="preserve"> </w:t>
      </w:r>
      <w:r>
        <w:rPr>
          <w:rStyle w:val="VerbatimChar"/>
        </w:rPr>
        <w:t xml:space="preserve">src/types/database.ts</w:t>
      </w:r>
      <w:r>
        <w:t xml:space="preserve">.</w:t>
      </w:r>
    </w:p>
    <w:bookmarkEnd w:id="29"/>
    <w:bookmarkStart w:id="34" w:name="estructura-de-carpetas"/>
    <w:p>
      <w:pPr>
        <w:pStyle w:val="Heading2"/>
      </w:pPr>
      <w:r>
        <w:t xml:space="preserve">3. Estructura de carpetas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(auth)/            login, register, forgot-password, reset-password</w:t>
      </w:r>
      <w:r>
        <w:br/>
      </w:r>
      <w:r>
        <w:rPr>
          <w:rStyle w:val="VerbatimChar"/>
        </w:rPr>
        <w:t xml:space="preserve">    (dashboard)/        área autenticada (ver mapa de rutas abajo)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reports/export/route.ts            GET — descarga Excel de una rendición</w:t>
      </w:r>
      <w:r>
        <w:br/>
      </w:r>
      <w:r>
        <w:rPr>
          <w:rStyle w:val="VerbatimChar"/>
        </w:rPr>
        <w:t xml:space="preserve">      reports/[id]/odoo-sync/route.ts     PUT — n8n informa el odoo_move_id</w:t>
      </w:r>
      <w:r>
        <w:br/>
      </w:r>
      <w:r>
        <w:rPr>
          <w:rStyle w:val="VerbatimChar"/>
        </w:rPr>
        <w:t xml:space="preserve">      webhook/new-user/route.ts           POST — notifica alta de usuario a n8n</w:t>
      </w:r>
      <w:r>
        <w:br/>
      </w:r>
      <w:r>
        <w:rPr>
          <w:rStyle w:val="VerbatimChar"/>
        </w:rPr>
        <w:t xml:space="preserve">      webhook/n8n/route.ts                POST — callback OCR de ticket</w:t>
      </w:r>
      <w:r>
        <w:br/>
      </w:r>
      <w:r>
        <w:rPr>
          <w:rStyle w:val="VerbatimChar"/>
        </w:rPr>
        <w:t xml:space="preserve">  actions/             Server Actions reusables: advanceActions.ts, payReportAction.ts</w:t>
      </w:r>
      <w:r>
        <w:br/>
      </w:r>
      <w:r>
        <w:rPr>
          <w:rStyle w:val="VerbatimChar"/>
        </w:rPr>
        <w:t xml:space="preserve">  components/          UI por dominio: reports/, expenses/, advances/, admin/, chusma/, viewer/, layout/, realtime/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supabase/          client.ts, server.ts, middleware.ts (anon key en los tres)</w:t>
      </w:r>
      <w:r>
        <w:br/>
      </w:r>
      <w:r>
        <w:rPr>
          <w:rStyle w:val="VerbatimChar"/>
        </w:rPr>
        <w:t xml:space="preserve">    n8n/                helpers de payload + envío de cada webhook</w:t>
      </w:r>
      <w:r>
        <w:br/>
      </w:r>
      <w:r>
        <w:rPr>
          <w:rStyle w:val="VerbatimChar"/>
        </w:rPr>
        <w:t xml:space="preserve">    excel/, excelGenerator.ts            generación de .xlsx</w:t>
      </w:r>
      <w:r>
        <w:br/>
      </w:r>
      <w:r>
        <w:rPr>
          <w:rStyle w:val="VerbatimChar"/>
        </w:rPr>
        <w:t xml:space="preserve">    currency.ts                          conversión de monedas y settlement</w:t>
      </w:r>
      <w:r>
        <w:br/>
      </w:r>
      <w:r>
        <w:rPr>
          <w:rStyle w:val="VerbatimChar"/>
        </w:rPr>
        <w:t xml:space="preserve">    auth/                                getMyProfile.ts, emailDomain.ts</w:t>
      </w:r>
      <w:r>
        <w:br/>
      </w:r>
      <w:r>
        <w:rPr>
          <w:rStyle w:val="VerbatimChar"/>
        </w:rPr>
        <w:t xml:space="preserve">  hooks/               useUser, useReports, useExpenses (client-side)</w:t>
      </w:r>
      <w:r>
        <w:br/>
      </w:r>
      <w:r>
        <w:rPr>
          <w:rStyle w:val="VerbatimChar"/>
        </w:rPr>
        <w:t xml:space="preserve">  types/database.ts    tipos generados de Supabase (fuente de verdad del esquema)</w:t>
      </w:r>
      <w:r>
        <w:br/>
      </w:r>
      <w:r>
        <w:rPr>
          <w:rStyle w:val="VerbatimChar"/>
        </w:rPr>
        <w:t xml:space="preserve">supabase/migrations/   migraciones SQL versionadas (RLS, columnas nuevas)</w:t>
      </w:r>
      <w:r>
        <w:br/>
      </w:r>
      <w:r>
        <w:rPr>
          <w:rStyle w:val="VerbatimChar"/>
        </w:rPr>
        <w:t xml:space="preserve">n8n/                   snippets de workflows exportados (referencia, no el workflow completo)</w:t>
      </w:r>
    </w:p>
    <w:p>
      <w:pPr>
        <w:pStyle w:val="FirstParagraph"/>
      </w:pPr>
      <w:r>
        <w:t xml:space="preserve">Dentro de</w:t>
      </w:r>
      <w:r>
        <w:t xml:space="preserve"> </w:t>
      </w:r>
      <w:r>
        <w:rPr>
          <w:rStyle w:val="VerbatimChar"/>
        </w:rPr>
        <w:t xml:space="preserve">(dashboard)</w:t>
      </w:r>
      <w:r>
        <w:t xml:space="preserve"> </w:t>
      </w:r>
      <w:r>
        <w:t xml:space="preserve">conviven páginas por rol bajo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advances/</w:t>
      </w:r>
      <w:r>
        <w:t xml:space="preserve"> </w:t>
      </w:r>
      <w:r>
        <w:t xml:space="preserve">(vista del propio empleado),</w:t>
      </w:r>
      <w:r>
        <w:t xml:space="preserve"> </w:t>
      </w:r>
      <w:r>
        <w:rPr>
          <w:rStyle w:val="VerbatimChar"/>
        </w:rPr>
        <w:t xml:space="preserve">aprobador/</w:t>
      </w:r>
      <w:r>
        <w:t xml:space="preserve"> </w:t>
      </w:r>
      <w:r>
        <w:t xml:space="preserve">(vista de supervisor),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 </w:t>
      </w:r>
      <w:r>
        <w:t xml:space="preserve">(gestión global),</w:t>
      </w:r>
      <w:r>
        <w:t xml:space="preserve"> </w:t>
      </w:r>
      <w:r>
        <w:rPr>
          <w:rStyle w:val="VerbatimChar"/>
        </w:rPr>
        <w:t xml:space="preserve">viewer/</w:t>
      </w:r>
      <w:r>
        <w:t xml:space="preserve"> </w:t>
      </w:r>
      <w:r>
        <w:t xml:space="preserve">(pagador/chusmas) y</w:t>
      </w:r>
      <w:r>
        <w:t xml:space="preserve"> </w:t>
      </w:r>
      <w:r>
        <w:rPr>
          <w:rStyle w:val="VerbatimChar"/>
        </w:rPr>
        <w:t xml:space="preserve">chusma-view/</w:t>
      </w:r>
      <w:r>
        <w:t xml:space="preserve"> </w:t>
      </w:r>
      <w:r>
        <w:t xml:space="preserve">(auditoría).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existe un árbol duplicado bajo</w:t>
      </w:r>
      <w:r>
        <w:t xml:space="preserve"> </w:t>
      </w:r>
      <w:r>
        <w:rPr>
          <w:rStyle w:val="VerbatimChar"/>
        </w:rPr>
        <w:t xml:space="preserve">(dashboard)/dashboard/*</w:t>
      </w:r>
      <w:r>
        <w:t xml:space="preserve"> </w:t>
      </w:r>
      <w:r>
        <w:t xml:space="preserve">que espeja las mismas rutas — ver §9 deuda técnica.</w:t>
      </w:r>
    </w:p>
    <w:bookmarkStart w:id="33" w:name="diagrama-de-paquetes"/>
    <w:p>
      <w:pPr>
        <w:pStyle w:val="Heading3"/>
      </w:pPr>
      <w:r>
        <w:t xml:space="preserve">Diagrama de paquetes</w:t>
      </w:r>
    </w:p>
    <w:p>
      <w:pPr>
        <w:pStyle w:val="FirstParagraph"/>
      </w:pPr>
      <w:r>
        <w:t xml:space="preserve">Dependencias entre las carpetas principales del código fuente.</w:t>
      </w:r>
    </w:p>
    <w:p>
      <w:pPr>
        <w:pStyle w:val="CaptionedFigure"/>
      </w:pPr>
      <w:r>
        <w:drawing>
          <wp:inline>
            <wp:extent cx="5334000" cy="3341581"/>
            <wp:effectExtent b="0" l="0" r="0" t="0"/>
            <wp:docPr descr="Diagrama" title="" id="31" name="Picture"/>
            <a:graphic>
              <a:graphicData uri="http://schemas.openxmlformats.org/drawingml/2006/picture">
                <pic:pic>
                  <pic:nvPicPr>
                    <pic:cNvPr descr="/tmp/docx_build/images/ARCHITECTURE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1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3"/>
    <w:bookmarkEnd w:id="34"/>
    <w:bookmarkStart w:id="35" w:name="modelo-de-dominio"/>
    <w:p>
      <w:pPr>
        <w:pStyle w:val="Heading2"/>
      </w:pPr>
      <w:r>
        <w:t xml:space="preserve">4. Modelo de dominio</w:t>
      </w:r>
    </w:p>
    <w:p>
      <w:pPr>
        <w:pStyle w:val="FirstParagraph"/>
      </w:pPr>
      <w:r>
        <w:t xml:space="preserve">Entidades centrales: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(usuarios + rol),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 </w:t>
      </w:r>
      <w:r>
        <w:t xml:space="preserve">(rendiciones),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(gastos, N:1 con una rendición),</w:t>
      </w:r>
      <w:r>
        <w:t xml:space="preserve"> </w:t>
      </w:r>
      <w:r>
        <w:rPr>
          <w:rStyle w:val="VerbatimChar"/>
        </w:rPr>
        <w:t xml:space="preserve">advances</w:t>
      </w:r>
      <w:r>
        <w:t xml:space="preserve"> </w:t>
      </w:r>
      <w:r>
        <w:t xml:space="preserve">(anticipos, 1:1 opcional con la rendición que generan al pagarse),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 </w:t>
      </w:r>
      <w:r>
        <w:t xml:space="preserve">(aprobador↔empleado),</w:t>
      </w:r>
      <w:r>
        <w:t xml:space="preserve"> </w:t>
      </w:r>
      <w:r>
        <w:rPr>
          <w:rStyle w:val="VerbatimChar"/>
        </w:rPr>
        <w:t xml:space="preserve">viewer_assignments</w:t>
      </w:r>
      <w:r>
        <w:t xml:space="preserve"> </w:t>
      </w:r>
      <w:r>
        <w:t xml:space="preserve">(viewer custom↔empleado) y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 </w:t>
      </w:r>
      <w:r>
        <w:t xml:space="preserve">(tipos de cambio globales a USD). Ver el ERD completo y los diagramas de estado en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.</w:t>
      </w:r>
    </w:p>
    <w:bookmarkEnd w:id="35"/>
    <w:bookmarkStart w:id="44" w:name="autenticación-y-autorización"/>
    <w:p>
      <w:pPr>
        <w:pStyle w:val="Heading2"/>
      </w:pPr>
      <w:r>
        <w:t xml:space="preserve">5. Autenticación y autorización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Login/registro:</w:t>
      </w:r>
      <w:r>
        <w:t xml:space="preserve"> </w:t>
      </w:r>
      <w:r>
        <w:t xml:space="preserve">Supabase Auth (</w:t>
      </w:r>
      <w:r>
        <w:rPr>
          <w:rStyle w:val="VerbatimChar"/>
        </w:rPr>
        <w:t xml:space="preserve">signInWithPassword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), restringido a dominios</w:t>
      </w:r>
      <w:r>
        <w:t xml:space="preserve"> </w:t>
      </w:r>
      <w:r>
        <w:rPr>
          <w:rStyle w:val="VerbatimChar"/>
        </w:rPr>
        <w:t xml:space="preserve">@southgenetics.com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@pacificgenomics.cl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src/lib/auth/emailDomain.ts</w:t>
      </w:r>
      <w:r>
        <w:t xml:space="preserve">). Todo usuario nuevo nace con rol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src/lib/supabase/middleware.ts</w:t>
      </w:r>
      <w:r>
        <w:t xml:space="preserve">): refresca la sesión, exige sesión para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,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si hay sesión y se visita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/</w:t>
      </w:r>
      <w:r>
        <w:rPr>
          <w:rStyle w:val="VerbatimChar"/>
        </w:rPr>
        <w:t xml:space="preserve">/register</w:t>
      </w:r>
      <w:r>
        <w:t xml:space="preserve">, y restringe</w:t>
      </w:r>
      <w:r>
        <w:t xml:space="preserve"> </w:t>
      </w:r>
      <w:r>
        <w:rPr>
          <w:rStyle w:val="VerbatimChar"/>
        </w:rPr>
        <w:t xml:space="preserve">/dashboard/admin/*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role === "admin"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Actions:</w:t>
      </w:r>
      <w:r>
        <w:t xml:space="preserve"> </w:t>
      </w:r>
      <w:r>
        <w:t xml:space="preserve">cada acción sensible valida el rol explícitamente (</w:t>
      </w:r>
      <w:r>
        <w:rPr>
          <w:rStyle w:val="VerbatimChar"/>
        </w:rPr>
        <w:t xml:space="preserve">assertRole</w:t>
      </w:r>
      <w:r>
        <w:t xml:space="preserve">/chequeos</w:t>
      </w:r>
      <w:r>
        <w:t xml:space="preserve"> </w:t>
      </w:r>
      <w:r>
        <w:rPr>
          <w:rStyle w:val="VerbatimChar"/>
        </w:rPr>
        <w:t xml:space="preserve">if (role !== ...)</w:t>
      </w:r>
      <w:r>
        <w:t xml:space="preserve">) antes de mutar datos.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RLS en Postgres:</w:t>
      </w:r>
      <w:r>
        <w:t xml:space="preserve"> </w:t>
      </w:r>
      <w:r>
        <w:t xml:space="preserve">segunda capa independiente de la aplicación — ver matriz de políticas en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docs/ROLES.md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Excepción notable:</w:t>
      </w:r>
      <w:r>
        <w:t xml:space="preserve"> </w:t>
      </w:r>
      <w:r>
        <w:t xml:space="preserve">dos identidades (</w:t>
      </w:r>
      <w:r>
        <w:rPr>
          <w:rStyle w:val="VerbatimChar"/>
        </w:rPr>
        <w:t xml:space="preserve">nalvez@southgenetics.com</w:t>
      </w:r>
      <w:r>
        <w:t xml:space="preserve"> </w:t>
      </w:r>
      <w:r>
        <w:t xml:space="preserve">y un UUID fijo) se tratan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de forma hardcodeada en</w:t>
      </w:r>
      <w:r>
        <w:t xml:space="preserve"> </w:t>
      </w:r>
      <w:r>
        <w:rPr>
          <w:rStyle w:val="VerbatimChar"/>
        </w:rPr>
        <w:t xml:space="preserve">getMyProfile.ts</w:t>
      </w:r>
      <w:r>
        <w:t xml:space="preserve">, fuera de la tabla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. Ver riesgos en §9.</w:t>
      </w:r>
    </w:p>
    <w:p>
      <w:pPr>
        <w:pStyle w:val="FirstParagraph"/>
      </w:pPr>
      <w:r>
        <w:t xml:space="preserve">Detalle completo de permisos por rol en</w:t>
      </w:r>
      <w:r>
        <w:t xml:space="preserve"> </w:t>
      </w:r>
      <w:r>
        <w:rPr>
          <w:rStyle w:val="VerbatimChar"/>
        </w:rPr>
        <w:t xml:space="preserve">docs/ROLES.md</w:t>
      </w:r>
      <w:r>
        <w:t xml:space="preserve">.</w:t>
      </w:r>
    </w:p>
    <w:bookmarkStart w:id="39" w:name="flujo-de-autenticación"/>
    <w:p>
      <w:pPr>
        <w:pStyle w:val="Heading3"/>
      </w:pPr>
      <w:r>
        <w:t xml:space="preserve">Flujo de autenticación</w:t>
      </w:r>
    </w:p>
    <w:p>
      <w:pPr>
        <w:pStyle w:val="CaptionedFigure"/>
      </w:pPr>
      <w:r>
        <w:drawing>
          <wp:inline>
            <wp:extent cx="5334000" cy="4028378"/>
            <wp:effectExtent b="0" l="0" r="0" t="0"/>
            <wp:docPr descr="Diagrama" title="" id="37" name="Picture"/>
            <a:graphic>
              <a:graphicData uri="http://schemas.openxmlformats.org/drawingml/2006/picture">
                <pic:pic>
                  <pic:nvPicPr>
                    <pic:cNvPr descr="/tmp/docx_build/images/ARCHITECTURE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9"/>
    <w:bookmarkStart w:id="43" w:name="diagrama-de-roles-y-permisos"/>
    <w:p>
      <w:pPr>
        <w:pStyle w:val="Heading3"/>
      </w:pPr>
      <w:r>
        <w:t xml:space="preserve">Diagrama de roles y permisos</w:t>
      </w:r>
    </w:p>
    <w:p>
      <w:pPr>
        <w:pStyle w:val="FirstParagraph"/>
      </w:pPr>
      <w:r>
        <w:t xml:space="preserve">Qué puede hacer cada rol en cada módulo (resumen — matriz completa en</w:t>
      </w:r>
      <w:r>
        <w:t xml:space="preserve"> </w:t>
      </w:r>
      <w:r>
        <w:rPr>
          <w:rStyle w:val="VerbatimChar"/>
        </w:rPr>
        <w:t xml:space="preserve">docs/ROLES.md</w:t>
      </w:r>
      <w:r>
        <w:t xml:space="preserve">).</w:t>
      </w:r>
    </w:p>
    <w:p>
      <w:pPr>
        <w:pStyle w:val="CaptionedFigure"/>
      </w:pPr>
      <w:r>
        <w:drawing>
          <wp:inline>
            <wp:extent cx="5334000" cy="8397502"/>
            <wp:effectExtent b="0" l="0" r="0" t="0"/>
            <wp:docPr descr="Diagrama" title="" id="41" name="Picture"/>
            <a:graphic>
              <a:graphicData uri="http://schemas.openxmlformats.org/drawingml/2006/picture">
                <pic:pic>
                  <pic:nvPicPr>
                    <pic:cNvPr descr="/tmp/docx_build/images/ARCHITECTURE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43"/>
    <w:bookmarkEnd w:id="44"/>
    <w:bookmarkStart w:id="45" w:name="flujos-de-negocio"/>
    <w:p>
      <w:pPr>
        <w:pStyle w:val="Heading2"/>
      </w:pPr>
      <w:r>
        <w:t xml:space="preserve">6. Flujos de negocio</w:t>
      </w:r>
    </w:p>
    <w:p>
      <w:pPr>
        <w:pStyle w:val="FirstParagraph"/>
      </w:pPr>
      <w:r>
        <w:t xml:space="preserve">Documentados con diagramas en</w:t>
      </w:r>
      <w:r>
        <w:t xml:space="preserve"> </w:t>
      </w:r>
      <w:r>
        <w:rPr>
          <w:rStyle w:val="VerbatimChar"/>
        </w:rPr>
        <w:t xml:space="preserve">docs/FLOWS.md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Creación de rendición y carga de gastos</w:t>
      </w:r>
    </w:p>
    <w:p>
      <w:pPr>
        <w:numPr>
          <w:ilvl w:val="0"/>
          <w:numId w:val="1002"/>
        </w:numPr>
        <w:pStyle w:val="Compact"/>
      </w:pPr>
      <w:r>
        <w:t xml:space="preserve">Envío a revisión → aprobación de gastos → cierre de rendición</w:t>
      </w:r>
    </w:p>
    <w:p>
      <w:pPr>
        <w:numPr>
          <w:ilvl w:val="0"/>
          <w:numId w:val="1002"/>
        </w:numPr>
        <w:pStyle w:val="Compact"/>
      </w:pPr>
      <w:r>
        <w:t xml:space="preserve">Aprobación de rendición → webhook n8n → emails + asiento Odoo (rama</w:t>
      </w:r>
      <w:r>
        <w:t xml:space="preserve"> </w:t>
      </w:r>
      <w:r>
        <w:rPr>
          <w:rStyle w:val="VerbatimChar"/>
        </w:rPr>
        <w:t xml:space="preserve">corporate_card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employee_paid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Pago de rendición</w:t>
      </w:r>
    </w:p>
    <w:p>
      <w:pPr>
        <w:numPr>
          <w:ilvl w:val="0"/>
          <w:numId w:val="1002"/>
        </w:numPr>
        <w:pStyle w:val="Compact"/>
      </w:pPr>
      <w:r>
        <w:t xml:space="preserve">Reapertura de rendición (admin)</w:t>
      </w:r>
    </w:p>
    <w:p>
      <w:pPr>
        <w:numPr>
          <w:ilvl w:val="0"/>
          <w:numId w:val="1002"/>
        </w:numPr>
        <w:pStyle w:val="Compact"/>
      </w:pPr>
      <w:r>
        <w:t xml:space="preserve">Anticipos: solicitud → aprobación → pago → rendición automática → liquidación</w:t>
      </w:r>
    </w:p>
    <w:p>
      <w:pPr>
        <w:numPr>
          <w:ilvl w:val="0"/>
          <w:numId w:val="1002"/>
        </w:numPr>
        <w:pStyle w:val="Compact"/>
      </w:pPr>
      <w:r>
        <w:t xml:space="preserve">Exportación a Excel</w:t>
      </w:r>
    </w:p>
    <w:bookmarkEnd w:id="45"/>
    <w:bookmarkStart w:id="46" w:name="integraciones-externas"/>
    <w:p>
      <w:pPr>
        <w:pStyle w:val="Heading2"/>
      </w:pPr>
      <w:r>
        <w:t xml:space="preserve">7. Integraciones externas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n8n</w:t>
      </w:r>
      <w:r>
        <w:t xml:space="preserve"> </w:t>
      </w:r>
      <w:r>
        <w:t xml:space="preserve">— 14+ webhooks salientes (creación/corrección/aprobación/pago/devolución de rendición; submitted/approved/rejected/paid de anticipos; nuevo usuario; OCR de ticket) y 1 endpoint entrante (</w:t>
      </w:r>
      <w:r>
        <w:rPr>
          <w:rStyle w:val="VerbatimChar"/>
        </w:rPr>
        <w:t xml:space="preserve">odoo-sync</w:t>
      </w:r>
      <w:r>
        <w:t xml:space="preserve">). Ver</w:t>
      </w:r>
      <w:r>
        <w:t xml:space="preserve"> </w:t>
      </w:r>
      <w:r>
        <w:rPr>
          <w:rStyle w:val="VerbatimChar"/>
        </w:rPr>
        <w:t xml:space="preserve">docs/INTEGRATIONS.md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Odoo</w:t>
      </w:r>
      <w:r>
        <w:t xml:space="preserve"> </w:t>
      </w:r>
      <w:r>
        <w:t xml:space="preserve">— Solo accesible desde n8n (no hay credenciales de Odoo en este repo); el repo solo expone el endpoint que recibe el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resultante.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 Storage</w:t>
      </w:r>
      <w:r>
        <w:t xml:space="preserve"> </w:t>
      </w:r>
      <w:r>
        <w:t xml:space="preserve">— Buckets</w:t>
      </w:r>
      <w:r>
        <w:t xml:space="preserve"> </w:t>
      </w:r>
      <w:r>
        <w:rPr>
          <w:rStyle w:val="VerbatimChar"/>
        </w:rPr>
        <w:t xml:space="preserve">comprobantes</w:t>
      </w:r>
      <w:r>
        <w:t xml:space="preserve"> </w:t>
      </w:r>
      <w:r>
        <w:t xml:space="preserve">(tickets de gastos, imágenes/PDF) y</w:t>
      </w:r>
      <w:r>
        <w:t xml:space="preserve"> </w:t>
      </w:r>
      <w:r>
        <w:rPr>
          <w:rStyle w:val="VerbatimChar"/>
        </w:rPr>
        <w:t xml:space="preserve">payment_receipts</w:t>
      </w:r>
      <w:r>
        <w:t xml:space="preserve"> </w:t>
      </w:r>
      <w:r>
        <w:t xml:space="preserve">(comprobantes de pago de rendiciones y anticipos).</w:t>
      </w:r>
    </w:p>
    <w:bookmarkEnd w:id="46"/>
    <w:bookmarkStart w:id="47" w:name="variables-de-entorno"/>
    <w:p>
      <w:pPr>
        <w:pStyle w:val="Heading2"/>
      </w:pPr>
      <w:r>
        <w:t xml:space="preserve">8. Variables de 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del proyecto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anónima (cliente browser/server, sujeta a RLS)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 servicio — usada en</w:t>
            </w:r>
            <w:r>
              <w:t xml:space="preserve"> </w:t>
            </w:r>
            <w:r>
              <w:rPr>
                <w:rStyle w:val="VerbatimChar"/>
              </w:rPr>
              <w:t xml:space="preserve">odoo-sync</w:t>
            </w:r>
            <w:r>
              <w:t xml:space="preserve"> </w:t>
            </w:r>
            <w:r>
              <w:t xml:space="preserve">y en</w:t>
            </w:r>
            <w:r>
              <w:t xml:space="preserve"> </w:t>
            </w:r>
            <w:r>
              <w:rPr>
                <w:rStyle w:val="VerbatimChar"/>
              </w:rPr>
              <w:t xml:space="preserve">deleteAdvanceAction</w:t>
            </w:r>
            <w:r>
              <w:t xml:space="preserve"> </w:t>
            </w:r>
            <w:r>
              <w:t xml:space="preserve">para bypassear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NEXT_PUBLIC_N8N_WEBHOOK_URL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OCR de ticket (</w:t>
            </w:r>
            <w:r>
              <w:t xml:space="preserve">“</w:t>
            </w:r>
            <w:r>
              <w:t xml:space="preserve">factura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NEXT_PUBLIC_N8N_NOTIFY_WEBHOOK_URL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genérico de notificaciones (revisión/cierre)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N8N_WEBHOOK_URL_NUEVA_RENDICION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inicial de una rendición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N8N_WEBHOOK_URL_RENDICION_CORREGIDA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Reenvío tras</w:t>
            </w:r>
            <w:r>
              <w:t xml:space="preserve"> </w:t>
            </w:r>
            <w:r>
              <w:rPr>
                <w:rStyle w:val="VerbatimChar"/>
              </w:rPr>
              <w:t xml:space="preserve">needs_correction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N8N_WEBHOOK_URL_APROBAR_CIERRE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N8N_WEBHOOK_URL_RENDICION_APROBADA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Aprobación/cierre de rendición (la primera tiene prioridad)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de rendición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N8N_WEBHOOK_URL_RENDICION_DEVUELTA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a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N8N_WEBHOOK_URL_ADVANCE_SUBMITTED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de anticipos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N8N_WEBHOOK_URL_NUEVO_USUARIO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N8N_DEFAULT_CHUSMA_EMAIL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si no hay perfiles con rol</w:t>
            </w:r>
            <w:r>
              <w:t xml:space="preserve"> </w:t>
            </w:r>
            <w:r>
              <w:rPr>
                <w:rStyle w:val="VerbatimChar"/>
              </w:rPr>
              <w:t xml:space="preserve">chusmas</w:t>
            </w:r>
          </w:p>
        </w:tc>
      </w:tr>
    </w:tbl>
    <w:bookmarkEnd w:id="47"/>
    <w:bookmarkStart w:id="51" w:name="despliegue"/>
    <w:p>
      <w:pPr>
        <w:pStyle w:val="Heading2"/>
      </w:pPr>
      <w:r>
        <w:t xml:space="preserve">9. Despliegue</w:t>
      </w:r>
    </w:p>
    <w:p>
      <w:pPr>
        <w:pStyle w:val="FirstParagraph"/>
      </w:pPr>
      <w:r>
        <w:t xml:space="preserve">Cómo llega un cambio de código a producción y cómo se conectan los servicios en runtime.</w:t>
      </w:r>
    </w:p>
    <w:p>
      <w:pPr>
        <w:pStyle w:val="CaptionedFigure"/>
      </w:pPr>
      <w:r>
        <w:drawing>
          <wp:inline>
            <wp:extent cx="5334000" cy="811549"/>
            <wp:effectExtent b="0" l="0" r="0" t="0"/>
            <wp:docPr descr="Diagrama" title="" id="49" name="Picture"/>
            <a:graphic>
              <a:graphicData uri="http://schemas.openxmlformats.org/drawingml/2006/picture">
                <pic:pic>
                  <pic:nvPicPr>
                    <pic:cNvPr descr="/tmp/docx_build/images/ARCHITECTURE_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51"/>
    <w:bookmarkStart w:id="52" w:name="X39def43b9cb965e479b027b0c9d45fe34fe1f5a"/>
    <w:p>
      <w:pPr>
        <w:pStyle w:val="Heading2"/>
      </w:pPr>
      <w:r>
        <w:t xml:space="preserve">10. Puntos de extensión / deuda técnica conocida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Rutas duplicadas:</w:t>
      </w:r>
      <w:r>
        <w:t xml:space="preserve"> </w:t>
      </w:r>
      <w:r>
        <w:rPr>
          <w:rStyle w:val="VerbatimChar"/>
        </w:rPr>
        <w:t xml:space="preserve">(dashboard)/dashboard/*</w:t>
      </w:r>
      <w:r>
        <w:t xml:space="preserve"> </w:t>
      </w:r>
      <w:r>
        <w:t xml:space="preserve">espeja</w:t>
      </w:r>
      <w:r>
        <w:t xml:space="preserve"> </w:t>
      </w:r>
      <w:r>
        <w:rPr>
          <w:rStyle w:val="VerbatimChar"/>
        </w:rPr>
        <w:t xml:space="preserve">(dashboard)/*</w:t>
      </w:r>
      <w:r>
        <w:t xml:space="preserve"> </w:t>
      </w:r>
      <w:r>
        <w:t xml:space="preserve">— parece una migración a medio terminar.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cuál es la canónica antes de tocar layout/navegación.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 hardcodeado:</w:t>
      </w:r>
      <w:r>
        <w:t xml:space="preserve"> </w:t>
      </w:r>
      <w:r>
        <w:rPr>
          <w:rStyle w:val="VerbatimChar"/>
        </w:rPr>
        <w:t xml:space="preserve">getMyProfile.ts</w:t>
      </w:r>
      <w:r>
        <w:t xml:space="preserve"> </w:t>
      </w:r>
      <w:r>
        <w:t xml:space="preserve">trata un email y un UUID fijos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sin pasar por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. Riesgo si esa cuenta cambia de owner o el UUID se reasigna.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odoo_move_id</w:t>
      </w:r>
      <w:r>
        <w:rPr>
          <w:bCs/>
          <w:b/>
        </w:rPr>
        <w:t xml:space="preserve"> </w:t>
      </w:r>
      <w:r>
        <w:rPr>
          <w:bCs/>
          <w:b/>
        </w:rPr>
        <w:t xml:space="preserve">no se limpia al reabrir:</w:t>
      </w:r>
      <w:r>
        <w:t xml:space="preserve"> </w:t>
      </w:r>
      <w:r>
        <w:rPr>
          <w:rStyle w:val="VerbatimChar"/>
        </w:rPr>
        <w:t xml:space="preserve">ReopenReportButton</w:t>
      </w:r>
      <w:r>
        <w:t xml:space="preserve"> </w:t>
      </w:r>
      <w:r>
        <w:t xml:space="preserve">resetea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, pero no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. Una rendición reabierta y re-aprobada puede generar un segundo asiento Odoo sin que el primero se anule — riesgo contable.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Webhooks fire-and-forget:</w:t>
      </w:r>
      <w:r>
        <w:t xml:space="preserve"> </w:t>
      </w:r>
      <w:r>
        <w:t xml:space="preserve">ninguna llamada a n8n tiene retry ni cola; un fallo de red se loguea en consola y el flujo de negocio continúa igual (el estado en DB ya cambió). Puede producir desincronización entre la app y las notificaciones/asiento contable.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Routing por país/empresa a Odoo no vive en este repo: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profiles.country</w:t>
      </w:r>
      <w:r>
        <w:t xml:space="preserve"> </w:t>
      </w:r>
      <w:r>
        <w:t xml:space="preserve">existe pero el mapeo país→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de Odoo se resuelve enteramente en n8n; no hay forma de auditarlo desde el código de la app.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total_amount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weekly_reports</w:t>
      </w:r>
      <w:r>
        <w:rPr>
          <w:bCs/>
          <w:b/>
        </w:rPr>
        <w:t xml:space="preserve"> </w:t>
      </w:r>
      <w:r>
        <w:rPr>
          <w:bCs/>
          <w:b/>
        </w:rPr>
        <w:t xml:space="preserve">no se persiste automáticamente:</w:t>
      </w:r>
      <w:r>
        <w:t xml:space="preserve"> </w:t>
      </w:r>
      <w:r>
        <w:t xml:space="preserve">se recalcula en cada render desde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src/lib/currency.ts</w:t>
      </w:r>
      <w:r>
        <w:t xml:space="preserve">; cualquier nueva pantalla que necesite el total debe repetir ese cálculo en vez de leer el campo de DB.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Roles legados en el enum (</w:t>
      </w:r>
      <w:r>
        <w:rPr>
          <w:rStyle w:val="VerbatimChar"/>
          <w:bCs/>
          <w:b/>
        </w:rPr>
        <w:t xml:space="preserve">seller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supervisor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chusma</w:t>
      </w:r>
      <w:r>
        <w:rPr>
          <w:bCs/>
          <w:b/>
        </w:rPr>
        <w:t xml:space="preserve"> </w:t>
      </w:r>
      <w:r>
        <w:rPr>
          <w:bCs/>
          <w:b/>
        </w:rPr>
        <w:t xml:space="preserve">singular):</w:t>
      </w:r>
      <w:r>
        <w:t xml:space="preserve"> </w:t>
      </w:r>
      <w:r>
        <w:t xml:space="preserve">convivendo con los roles activos (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por compatibilidad; nuevo código debe asumir los activos pero los checks de rol deben seguir aceptando los alias.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2026-06-16T19:44:00Z</dcterms:created>
  <dcterms:modified xsi:type="dcterms:W3CDTF">2026-06-16T19:44:00Z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