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documentación-técnica-rendición-sg"/>
    <w:p>
      <w:pPr>
        <w:pStyle w:val="Heading1"/>
      </w:pPr>
      <w:r>
        <w:t xml:space="preserve">Documentación técnica — Rendición SG</w:t>
      </w:r>
    </w:p>
    <w:p>
      <w:pPr>
        <w:pStyle w:val="FirstParagraph"/>
      </w:pPr>
      <w:r>
        <w:t xml:space="preserve">Plataforma interna de SouthGenetics para carga, aprobación, pago y rendición de gastos y anticipos. Producción: https://rendicion.southgenetics.com</w:t>
      </w:r>
    </w:p>
    <w:bookmarkStart w:id="25" w:name="índice"/>
    <w:p>
      <w:pPr>
        <w:pStyle w:val="Heading2"/>
      </w:pPr>
      <w:r>
        <w:t xml:space="preserve">Índice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Documento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Contenido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0">
              <w:r>
                <w:rPr>
                  <w:rStyle w:val="Hyperlink"/>
                </w:rPr>
                <w:t xml:space="preserve">ARCHITECTURE.md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Resumen ejecutivo, stack, estructura de carpetas, modelo de dominio, auth/roles, integraciones, variables de entorno, deuda técnica. Incluye diagramas C4 (contexto/contenedor), paquetes, roles y despliegue.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1">
              <w:r>
                <w:rPr>
                  <w:rStyle w:val="Hyperlink"/>
                </w:rPr>
                <w:t xml:space="preserve">DATABASE.md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ERD completo, descripción tabla por tabla, políticas RLS, migraciones cronológicas, diagramas de estado (rendición, gasto, anticipo).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2">
              <w:r>
                <w:rPr>
                  <w:rStyle w:val="Hyperlink"/>
                </w:rPr>
                <w:t xml:space="preserve">FLOWS.md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Los 7 flujos de negocio paso a paso con diagramas: carga de gastos, revisión/aprobación, cierre con webhook a n8n/Odoo, pago, reapertura, anticipos, export a Excel.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3">
              <w:r>
                <w:rPr>
                  <w:rStyle w:val="Hyperlink"/>
                </w:rPr>
                <w:t xml:space="preserve">INTEGRATIONS.md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n8n (todos los webhooks salientes/entrantes y payloads), Odoo (qué vive en el repo y qué no), Supabase Storage (buckets).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4">
              <w:r>
                <w:rPr>
                  <w:rStyle w:val="Hyperlink"/>
                </w:rPr>
                <w:t xml:space="preserve">ROLES.md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Matriz rol × acción × pantalla, capas de enforcement (middleware/Server Actions/RLS), navegación por rol.</w:t>
            </w:r>
          </w:p>
        </w:tc>
      </w:tr>
    </w:tbl>
    <w:bookmarkEnd w:id="25"/>
    <w:bookmarkStart w:id="26" w:name="hallazgos-clave-para-el-equipo"/>
    <w:p>
      <w:pPr>
        <w:pStyle w:val="Heading2"/>
      </w:pPr>
      <w:r>
        <w:t xml:space="preserve">10 hallazgos clave para el equipo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Dos estados conviven en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weekly_reports</w:t>
      </w:r>
      <w:r>
        <w:t xml:space="preserve">: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(</w:t>
      </w:r>
      <w:r>
        <w:rPr>
          <w:rStyle w:val="VerbatimChar"/>
        </w:rPr>
        <w:t xml:space="preserve">open</w:t>
      </w:r>
      <w:r>
        <w:t xml:space="preserve">/</w:t>
      </w:r>
      <w:r>
        <w:rPr>
          <w:rStyle w:val="VerbatimChar"/>
        </w:rPr>
        <w:t xml:space="preserve">closed</w:t>
      </w:r>
      <w:r>
        <w:t xml:space="preserve">, contenedor) y</w:t>
      </w:r>
      <w:r>
        <w:t xml:space="preserve"> </w:t>
      </w:r>
      <w:r>
        <w:rPr>
          <w:rStyle w:val="VerbatimChar"/>
        </w:rPr>
        <w:t xml:space="preserve">workflow_status</w:t>
      </w:r>
      <w:r>
        <w:t xml:space="preserve"> </w:t>
      </w:r>
      <w:r>
        <w:t xml:space="preserve">(</w:t>
      </w:r>
      <w:r>
        <w:rPr>
          <w:rStyle w:val="VerbatimChar"/>
        </w:rPr>
        <w:t xml:space="preserve">draft</w:t>
      </w:r>
      <w:r>
        <w:t xml:space="preserve">→</w:t>
      </w:r>
      <w:r>
        <w:rPr>
          <w:rStyle w:val="VerbatimChar"/>
        </w:rPr>
        <w:t xml:space="preserve">submitted</w:t>
      </w:r>
      <w:r>
        <w:t xml:space="preserve">→</w:t>
      </w:r>
      <w:r>
        <w:rPr>
          <w:rStyle w:val="VerbatimChar"/>
        </w:rPr>
        <w:t xml:space="preserve">needs_correction</w:t>
      </w:r>
      <w:r>
        <w:t xml:space="preserve">→</w:t>
      </w:r>
      <w:r>
        <w:rPr>
          <w:rStyle w:val="VerbatimChar"/>
        </w:rPr>
        <w:t xml:space="preserve">approved</w:t>
      </w:r>
      <w:r>
        <w:t xml:space="preserve">→</w:t>
      </w:r>
      <w:r>
        <w:rPr>
          <w:rStyle w:val="VerbatimChar"/>
        </w:rPr>
        <w:t xml:space="preserve">paid</w:t>
      </w:r>
      <w:r>
        <w:t xml:space="preserve">, el flujo real). Toda la UI y los webhooks se basan en</w:t>
      </w:r>
      <w:r>
        <w:t xml:space="preserve"> </w:t>
      </w:r>
      <w:r>
        <w:rPr>
          <w:rStyle w:val="VerbatimChar"/>
        </w:rPr>
        <w:t xml:space="preserve">workflow_status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payment_method</w:t>
      </w:r>
      <w:r>
        <w:rPr>
          <w:bCs/>
          <w:b/>
        </w:rPr>
        <w:t xml:space="preserve"> </w:t>
      </w:r>
      <w:r>
        <w:rPr>
          <w:bCs/>
          <w:b/>
        </w:rPr>
        <w:t xml:space="preserve">controla si hay asiento contable</w:t>
      </w:r>
      <w:r>
        <w:t xml:space="preserve">:</w:t>
      </w:r>
      <w:r>
        <w:t xml:space="preserve"> </w:t>
      </w:r>
      <w:r>
        <w:rPr>
          <w:rStyle w:val="VerbatimChar"/>
        </w:rPr>
        <w:t xml:space="preserve">corporate_card</w:t>
      </w:r>
      <w:r>
        <w:t xml:space="preserve"> </w:t>
      </w:r>
      <w:r>
        <w:t xml:space="preserve">setea</w:t>
      </w:r>
      <w:r>
        <w:t xml:space="preserve"> </w:t>
      </w:r>
      <w:r>
        <w:rPr>
          <w:rStyle w:val="VerbatimChar"/>
        </w:rPr>
        <w:t xml:space="preserve">skipOdooEntry=true</w:t>
      </w:r>
      <w:r>
        <w:t xml:space="preserve"> </w:t>
      </w:r>
      <w:r>
        <w:t xml:space="preserve">y el nodo IF de n8n salta toda la cadena de Odoo;</w:t>
      </w:r>
      <w:r>
        <w:t xml:space="preserve"> </w:t>
      </w:r>
      <w:r>
        <w:rPr>
          <w:rStyle w:val="VerbatimChar"/>
        </w:rPr>
        <w:t xml:space="preserve">employee_paid</w:t>
      </w:r>
      <w:r>
        <w:t xml:space="preserve"> </w:t>
      </w:r>
      <w:r>
        <w:t xml:space="preserve">es el único camino que genera</w:t>
      </w:r>
      <w:r>
        <w:t xml:space="preserve"> </w:t>
      </w:r>
      <w:r>
        <w:rPr>
          <w:rStyle w:val="VerbatimChar"/>
        </w:rPr>
        <w:t xml:space="preserve">account.move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El cierre de rendición puede ser automático</w:t>
      </w:r>
      <w:r>
        <w:t xml:space="preserve">: cuando un admin aprueba el último gasto pendiente y todos quedan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,</w:t>
      </w:r>
      <w:r>
        <w:t xml:space="preserve"> </w:t>
      </w:r>
      <w:r>
        <w:rPr>
          <w:rStyle w:val="VerbatimChar"/>
        </w:rPr>
        <w:t xml:space="preserve">tryAutoFinalizeReportAfterAllExpensesApprovedAction</w:t>
      </w:r>
      <w:r>
        <w:t xml:space="preserve"> </w:t>
      </w:r>
      <w:r>
        <w:t xml:space="preserve">dispara el mismo cierre que la aprobación manual.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odoo_move_id</w:t>
      </w:r>
      <w:r>
        <w:rPr>
          <w:bCs/>
          <w:b/>
        </w:rPr>
        <w:t xml:space="preserve"> </w:t>
      </w:r>
      <w:r>
        <w:rPr>
          <w:bCs/>
          <w:b/>
        </w:rPr>
        <w:t xml:space="preserve">solo lo escribe n8n</w:t>
      </w:r>
      <w:r>
        <w:t xml:space="preserve">, vía</w:t>
      </w:r>
      <w:r>
        <w:t xml:space="preserve"> </w:t>
      </w:r>
      <w:r>
        <w:rPr>
          <w:rStyle w:val="VerbatimChar"/>
        </w:rPr>
        <w:t xml:space="preserve">PUT /api/reports/[id]/odoo-sync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SUPABASE_SERVICE_ROLE_KEY</w:t>
      </w:r>
      <w:r>
        <w:t xml:space="preserve"> </w:t>
      </w:r>
      <w:r>
        <w:t xml:space="preserve">— el código de Next.js nunca lo setea directamente, y ese endpoint no valida un secreto de origen.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Riesgo de asiento duplicado</w:t>
      </w:r>
      <w:r>
        <w:t xml:space="preserve">: reabrir una rendición (</w:t>
      </w:r>
      <w:r>
        <w:rPr>
          <w:rStyle w:val="VerbatimChar"/>
        </w:rPr>
        <w:t xml:space="preserve">ReopenReportButton</w:t>
      </w:r>
      <w:r>
        <w:t xml:space="preserve">) no limpia</w:t>
      </w:r>
      <w:r>
        <w:t xml:space="preserve"> </w:t>
      </w:r>
      <w:r>
        <w:rPr>
          <w:rStyle w:val="VerbatimChar"/>
        </w:rPr>
        <w:t xml:space="preserve">odoo_move_id</w:t>
      </w:r>
      <w:r>
        <w:t xml:space="preserve"> </w:t>
      </w:r>
      <w:r>
        <w:t xml:space="preserve">ni el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de los</w:t>
      </w:r>
      <w:r>
        <w:t xml:space="preserve"> </w:t>
      </w:r>
      <w:r>
        <w:rPr>
          <w:rStyle w:val="VerbatimChar"/>
        </w:rPr>
        <w:t xml:space="preserve">expenses</w:t>
      </w:r>
      <w:r>
        <w:t xml:space="preserve">; una rendición re-aprobada puede volver a disparar la creación de asiento en Odoo sin que el código detecte que ya existe uno.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Todos los webhooks a n8n son fire-and-forget</w:t>
      </w:r>
      <w:r>
        <w:t xml:space="preserve">: sin retry ni cola. Si la llamada HTTP falla, el estado en Postgres ya cambió y nadie se entera salvo revisión manual.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El routing país/regional →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company_id</w:t>
      </w:r>
      <w:r>
        <w:rPr>
          <w:bCs/>
          <w:b/>
        </w:rPr>
        <w:t xml:space="preserve"> </w:t>
      </w:r>
      <w:r>
        <w:rPr>
          <w:bCs/>
          <w:b/>
        </w:rPr>
        <w:t xml:space="preserve">de Odoo no está en este repo</w:t>
      </w:r>
      <w:r>
        <w:t xml:space="preserve">: vive enteramente en la configuración de n8n, fuera del alcance de esta documentación y de cualquier auditoría de código.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aprobador</w:t>
      </w:r>
      <w:r>
        <w:rPr>
          <w:bCs/>
          <w:b/>
        </w:rPr>
        <w:t xml:space="preserve"> </w:t>
      </w:r>
      <w:r>
        <w:rPr>
          <w:bCs/>
          <w:b/>
        </w:rPr>
        <w:t xml:space="preserve">nunca tiene alcance global</w:t>
      </w:r>
      <w:r>
        <w:t xml:space="preserve">: su visibilidad de rendiciones, gastos y anticipos está acotada por</w:t>
      </w:r>
      <w:r>
        <w:t xml:space="preserve"> </w:t>
      </w:r>
      <w:r>
        <w:rPr>
          <w:rStyle w:val="VerbatimChar"/>
        </w:rPr>
        <w:t xml:space="preserve">supervision_assignments</w:t>
      </w:r>
      <w:r>
        <w:t xml:space="preserve">, reforzado tanto en Server Actions como en políticas RLS independientes.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Existe una cuenta admin hardcodeada</w:t>
      </w:r>
      <w:r>
        <w:t xml:space="preserve"> </w:t>
      </w:r>
      <w:r>
        <w:t xml:space="preserve">(</w:t>
      </w:r>
      <w:r>
        <w:rPr>
          <w:rStyle w:val="VerbatimChar"/>
        </w:rPr>
        <w:t xml:space="preserve">nalvez@southgenetics.com</w:t>
      </w:r>
      <w:r>
        <w:t xml:space="preserve"> </w:t>
      </w:r>
      <w:r>
        <w:t xml:space="preserve">+ un UUID fijo) en</w:t>
      </w:r>
      <w:r>
        <w:t xml:space="preserve"> </w:t>
      </w:r>
      <w:r>
        <w:rPr>
          <w:rStyle w:val="VerbatimChar"/>
        </w:rPr>
        <w:t xml:space="preserve">getMyProfile.ts</w:t>
      </w:r>
      <w:r>
        <w:t xml:space="preserve">, que se trata como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sin pasar por</w:t>
      </w:r>
      <w:r>
        <w:t xml:space="preserve"> </w:t>
      </w:r>
      <w:r>
        <w:rPr>
          <w:rStyle w:val="VerbatimChar"/>
        </w:rPr>
        <w:t xml:space="preserve">profiles.role</w:t>
      </w:r>
      <w:r>
        <w:t xml:space="preserve"> </w:t>
      </w:r>
      <w:r>
        <w:t xml:space="preserve">— punto de fragilidad si esa cuenta cambia.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Hay un árbol de rutas duplicado</w:t>
      </w:r>
      <w:r>
        <w:t xml:space="preserve"> </w:t>
      </w:r>
      <w:r>
        <w:t xml:space="preserve">bajo</w:t>
      </w:r>
      <w:r>
        <w:t xml:space="preserve"> </w:t>
      </w:r>
      <w:r>
        <w:rPr>
          <w:rStyle w:val="VerbatimChar"/>
        </w:rPr>
        <w:t xml:space="preserve">(dashboard)/dashboard/*</w:t>
      </w:r>
      <w:r>
        <w:t xml:space="preserve"> </w:t>
      </w:r>
      <w:r>
        <w:t xml:space="preserve">que espeja</w:t>
      </w:r>
      <w:r>
        <w:t xml:space="preserve"> </w:t>
      </w:r>
      <w:r>
        <w:rPr>
          <w:rStyle w:val="VerbatimChar"/>
        </w:rPr>
        <w:t xml:space="preserve">(dashboard)/*</w:t>
      </w:r>
      <w:r>
        <w:t xml:space="preserve"> </w:t>
      </w:r>
      <w:r>
        <w:t xml:space="preserve">— parece una migración a medio terminar; conviene confirmar cuál es la canónica antes de modificar layout o navegación.</w:t>
      </w:r>
    </w:p>
    <w:bookmarkEnd w:id="26"/>
    <w:bookmarkStart w:id="27" w:name="cómo-se-generó-esta-documentación"/>
    <w:p>
      <w:pPr>
        <w:pStyle w:val="Heading2"/>
      </w:pPr>
      <w:r>
        <w:t xml:space="preserve">Cómo se generó esta documentación</w:t>
      </w:r>
    </w:p>
    <w:p>
      <w:pPr>
        <w:pStyle w:val="FirstParagraph"/>
      </w:pPr>
      <w:r>
        <w:t xml:space="preserve">Basada en lectura directa del código (</w:t>
      </w:r>
      <w:r>
        <w:rPr>
          <w:rStyle w:val="VerbatimChar"/>
        </w:rPr>
        <w:t xml:space="preserve">src/</w:t>
      </w:r>
      <w:r>
        <w:t xml:space="preserve">), tipos generados de Supabase (</w:t>
      </w:r>
      <w:r>
        <w:rPr>
          <w:rStyle w:val="VerbatimChar"/>
        </w:rPr>
        <w:t xml:space="preserve">src/types/database.ts</w:t>
      </w:r>
      <w:r>
        <w:t xml:space="preserve">) y migraciones SQL (</w:t>
      </w:r>
      <w:r>
        <w:rPr>
          <w:rStyle w:val="VerbatimChar"/>
        </w:rPr>
        <w:t xml:space="preserve">supabase/migrations/</w:t>
      </w:r>
      <w:r>
        <w:t xml:space="preserve">) al 2026-06-16. Donde el código no permitía confirmar un comportamiento (p. ej. lógica que vive solo en n8n), se marcó explícitamente como</w:t>
      </w:r>
      <w:r>
        <w:t xml:space="preserve"> </w:t>
      </w:r>
      <w:r>
        <w:rPr>
          <w:rStyle w:val="VerbatimChar"/>
        </w:rPr>
        <w:t xml:space="preserve">[PENDIENTE: verificar]</w:t>
      </w:r>
      <w:r>
        <w:t xml:space="preserve"> </w:t>
      </w:r>
      <w:r>
        <w:t xml:space="preserve">en lugar de asumirlo.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./ARCHITECTURE.md" TargetMode="External" /><Relationship Type="http://schemas.openxmlformats.org/officeDocument/2006/relationships/hyperlink" Id="rId21" Target="./DATABASE.md" TargetMode="External" /><Relationship Type="http://schemas.openxmlformats.org/officeDocument/2006/relationships/hyperlink" Id="rId22" Target="./FLOWS.md" TargetMode="External" /><Relationship Type="http://schemas.openxmlformats.org/officeDocument/2006/relationships/hyperlink" Id="rId23" Target="./INTEGRATIONS.md" TargetMode="External" /><Relationship Type="http://schemas.openxmlformats.org/officeDocument/2006/relationships/hyperlink" Id="rId24" Target="./ROLE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./ARCHITECTURE.md" TargetMode="External" /><Relationship Type="http://schemas.openxmlformats.org/officeDocument/2006/relationships/hyperlink" Id="rId21" Target="./DATABASE.md" TargetMode="External" /><Relationship Type="http://schemas.openxmlformats.org/officeDocument/2006/relationships/hyperlink" Id="rId22" Target="./FLOWS.md" TargetMode="External" /><Relationship Type="http://schemas.openxmlformats.org/officeDocument/2006/relationships/hyperlink" Id="rId23" Target="./INTEGRATIONS.md" TargetMode="External" /><Relationship Type="http://schemas.openxmlformats.org/officeDocument/2006/relationships/hyperlink" Id="rId24" Target="./ROLE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2026-06-16T19:43:26Z</dcterms:created>
  <dcterms:modified xsi:type="dcterms:W3CDTF">2026-06-16T19:43:26Z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