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onsolas" w:hAnsi="Consolas"/>
          <w:color w:val="5C6570"/>
          <w:sz w:val="17"/>
        </w:rPr>
        <w:t>NORMA INTERNA  ·  GESTÃO DE FREQUÊNCIA</w:t>
      </w:r>
    </w:p>
    <w:p>
      <w:pPr>
        <w:spacing w:after="160"/>
      </w:pPr>
      <w:r>
        <w:rPr>
          <w:rFonts w:ascii="Cambria" w:hAnsi="Cambria" w:eastAsia="Cambria"/>
          <w:b/>
          <w:color w:val="1D3557"/>
          <w:sz w:val="52"/>
        </w:rPr>
        <w:t>Normas de Auditoria do Sistema</w:t>
      </w:r>
    </w:p>
    <w:p>
      <w:pPr>
        <w:spacing w:after="280" w:before="0"/>
      </w:pPr>
      <w:r>
        <w:rPr>
          <w:rFonts w:ascii="Calibri" w:hAnsi="Calibri" w:eastAsia="Calibri"/>
          <w:b w:val="0"/>
          <w:i w:val="0"/>
          <w:color w:val="3B4750"/>
          <w:sz w:val="22"/>
        </w:rPr>
        <w:t>Regras que definem o que é registrado, o que fica de fora, quem pode consultar e quais são os limites conhecidos da trilha de auditoria do 出勤率 / Taxa de Frequência.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F1F2EE"/>
          </w:tcPr>
          <w:p>
            <w:pPr>
              <w:spacing w:after="20"/>
            </w:pPr>
            <w:r>
              <w:rPr>
                <w:rFonts w:ascii="Consolas" w:hAnsi="Consolas"/>
                <w:color w:val="5C6570"/>
                <w:sz w:val="14"/>
              </w:rPr>
              <w:t>CÓDIGO</w:t>
            </w:r>
          </w:p>
        </w:tc>
        <w:tc>
          <w:tcPr>
            <w:tcW w:type="dxa" w:w="2296"/>
            <w:shd w:val="clear" w:color="auto" w:fill="F1F2EE"/>
          </w:tcPr>
          <w:p>
            <w:pPr>
              <w:spacing w:after="20"/>
            </w:pPr>
            <w:r>
              <w:rPr>
                <w:rFonts w:ascii="Consolas" w:hAnsi="Consolas"/>
                <w:color w:val="5C6570"/>
                <w:sz w:val="14"/>
              </w:rPr>
              <w:t>VERSÃO</w:t>
            </w:r>
          </w:p>
        </w:tc>
        <w:tc>
          <w:tcPr>
            <w:tcW w:type="dxa" w:w="2296"/>
            <w:shd w:val="clear" w:color="auto" w:fill="F1F2EE"/>
          </w:tcPr>
          <w:p>
            <w:pPr>
              <w:spacing w:after="20"/>
            </w:pPr>
            <w:r>
              <w:rPr>
                <w:rFonts w:ascii="Consolas" w:hAnsi="Consolas"/>
                <w:color w:val="5C6570"/>
                <w:sz w:val="14"/>
              </w:rPr>
              <w:t>CLASSIFICAÇÃO</w:t>
            </w:r>
          </w:p>
        </w:tc>
        <w:tc>
          <w:tcPr>
            <w:tcW w:type="dxa" w:w="2296"/>
            <w:shd w:val="clear" w:color="auto" w:fill="F1F2EE"/>
          </w:tcPr>
          <w:p>
            <w:pPr>
              <w:spacing w:after="20"/>
            </w:pPr>
            <w:r>
              <w:rPr>
                <w:rFonts w:ascii="Consolas" w:hAnsi="Consolas"/>
                <w:color w:val="5C6570"/>
                <w:sz w:val="14"/>
              </w:rPr>
              <w:t>SISTEMA</w:t>
            </w:r>
          </w:p>
        </w:tc>
      </w:tr>
      <w:tr>
        <w:tc>
          <w:tcPr>
            <w:tcW w:type="dxa" w:w="2296"/>
          </w:tcPr>
          <w:p>
            <w:pPr>
              <w:spacing w:after="20"/>
            </w:pPr>
            <w:r>
              <w:rPr>
                <w:rFonts w:ascii="Consolas" w:hAnsi="Consolas"/>
                <w:b/>
                <w:color w:val="16212C"/>
                <w:sz w:val="19"/>
              </w:rPr>
              <w:t>NOR-AUD-01</w:t>
            </w:r>
          </w:p>
        </w:tc>
        <w:tc>
          <w:tcPr>
            <w:tcW w:type="dxa" w:w="2296"/>
          </w:tcPr>
          <w:p>
            <w:pPr>
              <w:spacing w:after="20"/>
            </w:pPr>
            <w:r>
              <w:rPr>
                <w:rFonts w:ascii="Consolas" w:hAnsi="Consolas"/>
                <w:b/>
                <w:color w:val="16212C"/>
                <w:sz w:val="19"/>
              </w:rPr>
              <w:t>1.0</w:t>
            </w:r>
          </w:p>
        </w:tc>
        <w:tc>
          <w:tcPr>
            <w:tcW w:type="dxa" w:w="2296"/>
          </w:tcPr>
          <w:p>
            <w:pPr>
              <w:spacing w:after="20"/>
            </w:pPr>
            <w:r>
              <w:rPr>
                <w:rFonts w:ascii="Consolas" w:hAnsi="Consolas"/>
                <w:b/>
                <w:color w:val="16212C"/>
                <w:sz w:val="19"/>
              </w:rPr>
              <w:t>Uso interno</w:t>
            </w:r>
          </w:p>
        </w:tc>
        <w:tc>
          <w:tcPr>
            <w:tcW w:type="dxa" w:w="2296"/>
          </w:tcPr>
          <w:p>
            <w:pPr>
              <w:spacing w:after="20"/>
            </w:pPr>
            <w:r>
              <w:rPr>
                <w:rFonts w:ascii="Consolas" w:hAnsi="Consolas"/>
                <w:b/>
                <w:color w:val="16212C"/>
                <w:sz w:val="19"/>
              </w:rPr>
              <w:t>AuditLog</w:t>
            </w:r>
          </w:p>
        </w:tc>
      </w:tr>
    </w:tbl>
    <w:p>
      <w:pPr>
        <w:spacing w:after="80"/>
      </w:pPr>
    </w:p>
    <w:p>
      <w:pPr>
        <w:keepNext/>
        <w:spacing w:before="440" w:after="160"/>
        <w:pBdr>
          <w:bottom w:val="single" w:sz="6" w:space="4" w:color="A9ADA0"/>
        </w:pBdr>
      </w:pPr>
      <w:r>
        <w:rPr>
          <w:rFonts w:ascii="Consolas" w:hAnsi="Consolas"/>
          <w:b/>
          <w:color w:val="1D3557"/>
          <w:sz w:val="26"/>
        </w:rPr>
        <w:t xml:space="preserve">1.  </w:t>
      </w:r>
      <w:r>
        <w:rPr>
          <w:rFonts w:ascii="Cambria" w:hAnsi="Cambria" w:eastAsia="Cambria"/>
          <w:b/>
          <w:color w:val="16212C"/>
          <w:sz w:val="30"/>
        </w:rPr>
        <w:t>Objetivo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6212C"/>
          <w:sz w:val="22"/>
        </w:rPr>
        <w:t>Esta norma define o que o sistema de Gestão de Frequência registra em sua trilha de auditoria, com que finalidade, quem pode consultar esses registros e quais garantias — e limites — essa trilha oferece.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3B4750"/>
          <w:sz w:val="21"/>
        </w:rPr>
        <w:t>O objetivo do registro de auditoria é permitir que qualquer alteração de dado feita no sistema seja rastreável a um autor, um momento e um conteúdo de antes/depois, sem exceção e sem depender da boa vontade de quem operou a mudança.</w:t>
      </w:r>
    </w:p>
    <w:p>
      <w:pPr>
        <w:keepNext/>
        <w:spacing w:before="440" w:after="160"/>
        <w:pBdr>
          <w:bottom w:val="single" w:sz="6" w:space="4" w:color="A9ADA0"/>
        </w:pBdr>
      </w:pPr>
      <w:r>
        <w:rPr>
          <w:rFonts w:ascii="Consolas" w:hAnsi="Consolas"/>
          <w:b/>
          <w:color w:val="1D3557"/>
          <w:sz w:val="26"/>
        </w:rPr>
        <w:t xml:space="preserve">2.  </w:t>
      </w:r>
      <w:r>
        <w:rPr>
          <w:rFonts w:ascii="Cambria" w:hAnsi="Cambria" w:eastAsia="Cambria"/>
          <w:b/>
          <w:color w:val="16212C"/>
          <w:sz w:val="30"/>
        </w:rPr>
        <w:t>Abrangência</w:t>
      </w:r>
    </w:p>
    <w:p>
      <w:pPr>
        <w:spacing w:after="160" w:before="0"/>
      </w:pPr>
      <w:r>
        <w:rPr>
          <w:rFonts w:ascii="Calibri" w:hAnsi="Calibri" w:eastAsia="Calibri"/>
          <w:b w:val="0"/>
          <w:color w:val="3B4750"/>
          <w:sz w:val="21"/>
        </w:rPr>
        <w:t xml:space="preserve">Esta norma se aplica a todo o sistema </w:t>
      </w:r>
      <w:r>
        <w:rPr>
          <w:rFonts w:ascii="Calibri" w:hAnsi="Calibri" w:eastAsia="Calibri"/>
          <w:b/>
          <w:color w:val="16212C"/>
          <w:sz w:val="21"/>
        </w:rPr>
        <w:t>出勤率 / Taxa de Frequência</w:t>
      </w:r>
      <w:r>
        <w:rPr>
          <w:rFonts w:ascii="Calibri" w:hAnsi="Calibri" w:eastAsia="Calibri"/>
          <w:b w:val="0"/>
          <w:color w:val="3B4750"/>
          <w:sz w:val="21"/>
        </w:rPr>
        <w:t xml:space="preserve"> — registro diário de presença por setor e turno, painel administrativo de usuários e o próprio módulo de auditoria. Aplica-se a todos os perfis de acesso (</w:t>
      </w:r>
      <w:r>
        <w:rPr>
          <w:rFonts w:ascii="Consolas" w:hAnsi="Consolas"/>
          <w:color w:val="1D3557"/>
          <w:sz w:val="19"/>
        </w:rPr>
        <w:t>admin</w:t>
      </w:r>
      <w:r>
        <w:rPr>
          <w:rFonts w:ascii="Calibri" w:hAnsi="Calibri" w:eastAsia="Calibri"/>
          <w:b w:val="0"/>
          <w:color w:val="3B4750"/>
          <w:sz w:val="21"/>
        </w:rPr>
        <w:t xml:space="preserve"> e </w:t>
      </w:r>
      <w:r>
        <w:rPr>
          <w:rFonts w:ascii="Consolas" w:hAnsi="Consolas"/>
          <w:color w:val="1D3557"/>
          <w:sz w:val="19"/>
        </w:rPr>
        <w:t>user</w:t>
      </w:r>
      <w:r>
        <w:rPr>
          <w:rFonts w:ascii="Calibri" w:hAnsi="Calibri" w:eastAsia="Calibri"/>
          <w:b w:val="0"/>
          <w:color w:val="3B4750"/>
          <w:sz w:val="21"/>
        </w:rPr>
        <w:t>) e a rotinas automatizadas server-to-server (cron, scripts de recuperação).</w:t>
      </w:r>
    </w:p>
    <w:p>
      <w:pPr>
        <w:keepNext/>
        <w:spacing w:before="440" w:after="160"/>
        <w:pBdr>
          <w:bottom w:val="single" w:sz="6" w:space="4" w:color="A9ADA0"/>
        </w:pBdr>
      </w:pPr>
      <w:r>
        <w:rPr>
          <w:rFonts w:ascii="Consolas" w:hAnsi="Consolas"/>
          <w:b/>
          <w:color w:val="1D3557"/>
          <w:sz w:val="26"/>
        </w:rPr>
        <w:t xml:space="preserve">3.  </w:t>
      </w:r>
      <w:r>
        <w:rPr>
          <w:rFonts w:ascii="Cambria" w:hAnsi="Cambria" w:eastAsia="Cambria"/>
          <w:b/>
          <w:color w:val="16212C"/>
          <w:sz w:val="30"/>
        </w:rPr>
        <w:t>Definições</w:t>
      </w:r>
    </w:p>
    <w:p>
      <w:pPr>
        <w:spacing w:after="140"/>
        <w:ind w:left="510" w:hanging="510"/>
      </w:pPr>
      <w:r>
        <w:rPr>
          <w:rFonts w:ascii="Consolas" w:hAnsi="Consolas"/>
          <w:color w:val="5C6570"/>
          <w:sz w:val="18"/>
        </w:rPr>
        <w:t>3.1</w:t>
        <w:tab/>
      </w:r>
      <w:r>
        <w:rPr>
          <w:rFonts w:ascii="Calibri" w:hAnsi="Calibri" w:eastAsia="Calibri"/>
          <w:b/>
          <w:color w:val="16212C"/>
          <w:sz w:val="21"/>
        </w:rPr>
        <w:t xml:space="preserve">Registro de auditoria — </w:t>
      </w:r>
      <w:r>
        <w:rPr>
          <w:rFonts w:ascii="Calibri" w:hAnsi="Calibri" w:eastAsia="Calibri"/>
          <w:color w:val="3B4750"/>
          <w:sz w:val="21"/>
        </w:rPr>
        <w:t>uma linha imutável na tabela AuditLog, criada no exato momento em que uma alteração de dado é confirmada no banco.</w:t>
      </w:r>
    </w:p>
    <w:p>
      <w:pPr>
        <w:spacing w:after="140"/>
        <w:ind w:left="510" w:hanging="510"/>
      </w:pPr>
      <w:r>
        <w:rPr>
          <w:rFonts w:ascii="Consolas" w:hAnsi="Consolas"/>
          <w:color w:val="5C6570"/>
          <w:sz w:val="18"/>
        </w:rPr>
        <w:t>3.2</w:t>
        <w:tab/>
      </w:r>
      <w:r>
        <w:rPr>
          <w:rFonts w:ascii="Calibri" w:hAnsi="Calibri" w:eastAsia="Calibri"/>
          <w:b/>
          <w:color w:val="16212C"/>
          <w:sz w:val="21"/>
        </w:rPr>
        <w:t xml:space="preserve">Ator — </w:t>
      </w:r>
      <w:r>
        <w:rPr>
          <w:rFonts w:ascii="Calibri" w:hAnsi="Calibri" w:eastAsia="Calibri"/>
          <w:color w:val="3B4750"/>
          <w:sz w:val="21"/>
        </w:rPr>
        <w:t>o usuário autenticado (ou o rótulo “sistema”, para ações originadas fora de uma sessão de login) a quem o registro é atribuído.</w:t>
      </w:r>
    </w:p>
    <w:p>
      <w:pPr>
        <w:spacing w:after="140"/>
        <w:ind w:left="510" w:hanging="510"/>
      </w:pPr>
      <w:r>
        <w:rPr>
          <w:rFonts w:ascii="Consolas" w:hAnsi="Consolas"/>
          <w:color w:val="5C6570"/>
          <w:sz w:val="18"/>
        </w:rPr>
        <w:t>3.3</w:t>
        <w:tab/>
      </w:r>
      <w:r>
        <w:rPr>
          <w:rFonts w:ascii="Calibri" w:hAnsi="Calibri" w:eastAsia="Calibri"/>
          <w:b/>
          <w:color w:val="16212C"/>
          <w:sz w:val="21"/>
        </w:rPr>
        <w:t xml:space="preserve">Ação — </w:t>
      </w:r>
      <w:r>
        <w:rPr>
          <w:rFonts w:ascii="Calibri" w:hAnsi="Calibri" w:eastAsia="Calibri"/>
          <w:color w:val="3B4750"/>
          <w:sz w:val="21"/>
        </w:rPr>
        <w:t>o identificador fixo do tipo de evento (ex.: attendance.update), de um conjunto fechado definido em código — não é texto livre.</w:t>
      </w:r>
    </w:p>
    <w:p>
      <w:pPr>
        <w:spacing w:after="140"/>
        <w:ind w:left="510" w:hanging="510"/>
      </w:pPr>
      <w:r>
        <w:rPr>
          <w:rFonts w:ascii="Consolas" w:hAnsi="Consolas"/>
          <w:color w:val="5C6570"/>
          <w:sz w:val="18"/>
        </w:rPr>
        <w:t>3.4</w:t>
        <w:tab/>
      </w:r>
      <w:r>
        <w:rPr>
          <w:rFonts w:ascii="Calibri" w:hAnsi="Calibri" w:eastAsia="Calibri"/>
          <w:b/>
          <w:color w:val="16212C"/>
          <w:sz w:val="21"/>
        </w:rPr>
        <w:t xml:space="preserve">Alvo — </w:t>
      </w:r>
      <w:r>
        <w:rPr>
          <w:rFonts w:ascii="Calibri" w:hAnsi="Calibri" w:eastAsia="Calibri"/>
          <w:color w:val="3B4750"/>
          <w:sz w:val="21"/>
        </w:rPr>
        <w:t>descrição legível do item alterado (ex.: um setor e turno, ou um nome de usuário).</w:t>
      </w:r>
    </w:p>
    <w:p>
      <w:pPr>
        <w:spacing w:after="140"/>
        <w:ind w:left="510" w:hanging="510"/>
      </w:pPr>
      <w:r>
        <w:rPr>
          <w:rFonts w:ascii="Consolas" w:hAnsi="Consolas"/>
          <w:color w:val="5C6570"/>
          <w:sz w:val="18"/>
        </w:rPr>
        <w:t>3.5</w:t>
        <w:tab/>
      </w:r>
      <w:r>
        <w:rPr>
          <w:rFonts w:ascii="Calibri" w:hAnsi="Calibri" w:eastAsia="Calibri"/>
          <w:b/>
          <w:color w:val="16212C"/>
          <w:sz w:val="21"/>
        </w:rPr>
        <w:t xml:space="preserve">Metadados — </w:t>
      </w:r>
      <w:r>
        <w:rPr>
          <w:rFonts w:ascii="Calibri" w:hAnsi="Calibri" w:eastAsia="Calibri"/>
          <w:color w:val="3B4750"/>
          <w:sz w:val="21"/>
        </w:rPr>
        <w:t>payload estruturado opcional associado ao evento, tipicamente o par antes/depois dos valores alterados.</w:t>
      </w:r>
    </w:p>
    <w:p>
      <w:pPr>
        <w:keepNext/>
        <w:spacing w:before="440" w:after="160"/>
        <w:pBdr>
          <w:bottom w:val="single" w:sz="6" w:space="4" w:color="A9ADA0"/>
        </w:pBdr>
      </w:pPr>
      <w:r>
        <w:rPr>
          <w:rFonts w:ascii="Consolas" w:hAnsi="Consolas"/>
          <w:b/>
          <w:color w:val="1D3557"/>
          <w:sz w:val="26"/>
        </w:rPr>
        <w:t xml:space="preserve">4.  </w:t>
      </w:r>
      <w:r>
        <w:rPr>
          <w:rFonts w:ascii="Cambria" w:hAnsi="Cambria" w:eastAsia="Cambria"/>
          <w:b/>
          <w:color w:val="16212C"/>
          <w:sz w:val="30"/>
        </w:rPr>
        <w:t>Princípios gerais de registro</w:t>
      </w:r>
    </w:p>
    <w:p>
      <w:pPr>
        <w:spacing w:after="140"/>
        <w:ind w:left="510" w:hanging="510"/>
      </w:pPr>
      <w:r>
        <w:rPr>
          <w:rFonts w:ascii="Consolas" w:hAnsi="Consolas"/>
          <w:color w:val="5C6570"/>
          <w:sz w:val="18"/>
        </w:rPr>
        <w:t>4.1</w:t>
        <w:tab/>
      </w:r>
      <w:r>
        <w:rPr>
          <w:rFonts w:ascii="Calibri" w:hAnsi="Calibri" w:eastAsia="Calibri"/>
          <w:color w:val="3B4750"/>
          <w:sz w:val="21"/>
        </w:rPr>
        <w:t>Todo registro é gravado no mesmo request que executa a alteração de dado, imediatamente após a confirmação no banco.</w:t>
      </w:r>
    </w:p>
    <w:p>
      <w:pPr>
        <w:spacing w:after="140"/>
        <w:ind w:left="510" w:hanging="510"/>
      </w:pPr>
      <w:r>
        <w:rPr>
          <w:rFonts w:ascii="Consolas" w:hAnsi="Consolas"/>
          <w:color w:val="5C6570"/>
          <w:sz w:val="18"/>
        </w:rPr>
        <w:t>4.2</w:t>
        <w:tab/>
      </w:r>
      <w:r>
        <w:rPr>
          <w:rFonts w:ascii="Calibri" w:hAnsi="Calibri" w:eastAsia="Calibri"/>
          <w:color w:val="3B4750"/>
          <w:sz w:val="21"/>
        </w:rPr>
        <w:t>O registro de auditoria é best-effort e não bloqueante: se a gravação do log falhar, a operação de negócio já concluída não é revertida — a falha é apenas registrada no console do servidor. Esse comportamento é deliberado (ver Seção 10 sobre a limitação que ele implica).</w:t>
      </w:r>
    </w:p>
    <w:p>
      <w:pPr>
        <w:spacing w:after="140"/>
        <w:ind w:left="510" w:hanging="510"/>
      </w:pPr>
      <w:r>
        <w:rPr>
          <w:rFonts w:ascii="Consolas" w:hAnsi="Consolas"/>
          <w:color w:val="5C6570"/>
          <w:sz w:val="18"/>
        </w:rPr>
        <w:t>4.3</w:t>
        <w:tab/>
      </w:r>
      <w:r>
        <w:rPr>
          <w:rFonts w:ascii="Calibri" w:hAnsi="Calibri" w:eastAsia="Calibri"/>
          <w:color w:val="3B4750"/>
          <w:sz w:val="21"/>
        </w:rPr>
        <w:t>A identidade do ator é sempre resolvida a partir da sessão já verificada pelo middleware (cabeçalhos x-user-id / x-user-username), nunca de um campo enviado livremente pelo cliente.</w:t>
      </w:r>
    </w:p>
    <w:p>
      <w:pPr>
        <w:keepNext/>
        <w:spacing w:before="440" w:after="160"/>
        <w:pBdr>
          <w:bottom w:val="single" w:sz="6" w:space="4" w:color="A9ADA0"/>
        </w:pBdr>
      </w:pPr>
      <w:r>
        <w:rPr>
          <w:rFonts w:ascii="Consolas" w:hAnsi="Consolas"/>
          <w:b/>
          <w:color w:val="1D3557"/>
          <w:sz w:val="26"/>
        </w:rPr>
        <w:t xml:space="preserve">5.  </w:t>
      </w:r>
      <w:r>
        <w:rPr>
          <w:rFonts w:ascii="Cambria" w:hAnsi="Cambria" w:eastAsia="Cambria"/>
          <w:b/>
          <w:color w:val="16212C"/>
          <w:sz w:val="30"/>
        </w:rPr>
        <w:t>Escopo de registro obrigatório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3B4750"/>
          <w:sz w:val="21"/>
        </w:rPr>
        <w:t>As cinco categorias de evento abaixo são as únicas que alteram dado no sistema hoje. Todas são registradas, sem exceção.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041"/>
            <w:shd w:val="clear" w:color="auto" w:fill="DDE4EC"/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1D3557"/>
                <w:sz w:val="15"/>
              </w:rPr>
              <w:t>AÇÃO</w:t>
            </w:r>
          </w:p>
        </w:tc>
        <w:tc>
          <w:tcPr>
            <w:tcW w:type="dxa" w:w="3572"/>
            <w:shd w:val="clear" w:color="auto" w:fill="DDE4EC"/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1D3557"/>
                <w:sz w:val="15"/>
              </w:rPr>
              <w:t>O QUE DISPARA O REGISTRO</w:t>
            </w:r>
          </w:p>
        </w:tc>
        <w:tc>
          <w:tcPr>
            <w:tcW w:type="dxa" w:w="3572"/>
            <w:shd w:val="clear" w:color="auto" w:fill="DDE4EC"/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1D3557"/>
                <w:sz w:val="15"/>
              </w:rPr>
              <w:t>METADADOS GRAVADOS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Consolas" w:hAnsi="Consolas" w:eastAsia="Calibri"/>
                <w:color w:val="16212C"/>
                <w:sz w:val="18"/>
              </w:rPr>
              <w:t>attendance.update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rFonts w:ascii="Calibri" w:hAnsi="Calibri" w:eastAsia="Calibri"/>
                <w:color w:val="3B4750"/>
                <w:sz w:val="18"/>
              </w:rPr>
              <w:t>Edição de quadro, ausência planejada, falta sem aviso ou diversos, para um setor/turno/data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rFonts w:ascii="Calibri" w:hAnsi="Calibri" w:eastAsia="Calibri"/>
                <w:color w:val="3B4750"/>
                <w:sz w:val="18"/>
              </w:rPr>
              <w:t>Setor, turno, data e o par completo antes/depois dos 4 campos numéricos</w:t>
            </w:r>
          </w:p>
        </w:tc>
      </w:tr>
      <w:tr>
        <w:tc>
          <w:tcPr>
            <w:tcW w:type="dxa" w:w="2041"/>
            <w:shd w:val="clear" w:color="auto" w:fill="F5F5F1"/>
          </w:tcPr>
          <w:p>
            <w:pPr>
              <w:spacing w:after="40"/>
            </w:pPr>
            <w:r>
              <w:rPr>
                <w:rFonts w:ascii="Consolas" w:hAnsi="Consolas" w:eastAsia="Calibri"/>
                <w:color w:val="16212C"/>
                <w:sz w:val="18"/>
              </w:rPr>
              <w:t>user.create</w:t>
            </w:r>
          </w:p>
        </w:tc>
        <w:tc>
          <w:tcPr>
            <w:tcW w:type="dxa" w:w="3572"/>
            <w:shd w:val="clear" w:color="auto" w:fill="F5F5F1"/>
          </w:tcPr>
          <w:p>
            <w:pPr>
              <w:spacing w:after="40"/>
            </w:pPr>
            <w:r>
              <w:rPr>
                <w:rFonts w:ascii="Calibri" w:hAnsi="Calibri" w:eastAsia="Calibri"/>
                <w:color w:val="3B4750"/>
                <w:sz w:val="18"/>
              </w:rPr>
              <w:t>Administrador cria uma nova conta</w:t>
            </w:r>
          </w:p>
        </w:tc>
        <w:tc>
          <w:tcPr>
            <w:tcW w:type="dxa" w:w="3572"/>
            <w:shd w:val="clear" w:color="auto" w:fill="F5F5F1"/>
          </w:tcPr>
          <w:p>
            <w:pPr>
              <w:spacing w:after="40"/>
            </w:pPr>
            <w:r>
              <w:rPr>
                <w:rFonts w:ascii="Calibri" w:hAnsi="Calibri" w:eastAsia="Calibri"/>
                <w:color w:val="3B4750"/>
                <w:sz w:val="18"/>
              </w:rPr>
              <w:t>Nome de usuário criado e papel atribuído (admin/user)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Consolas" w:hAnsi="Consolas" w:eastAsia="Calibri"/>
                <w:color w:val="16212C"/>
                <w:sz w:val="18"/>
              </w:rPr>
              <w:t>user.delete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rFonts w:ascii="Calibri" w:hAnsi="Calibri" w:eastAsia="Calibri"/>
                <w:color w:val="3B4750"/>
                <w:sz w:val="18"/>
              </w:rPr>
              <w:t>Administrador exclui uma conta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rFonts w:ascii="Calibri" w:hAnsi="Calibri" w:eastAsia="Calibri"/>
                <w:color w:val="3B4750"/>
                <w:sz w:val="18"/>
              </w:rPr>
              <w:t>Nome de usuário excluído e papel que ele tinha</w:t>
            </w:r>
          </w:p>
        </w:tc>
      </w:tr>
      <w:tr>
        <w:tc>
          <w:tcPr>
            <w:tcW w:type="dxa" w:w="2041"/>
            <w:shd w:val="clear" w:color="auto" w:fill="F5F5F1"/>
          </w:tcPr>
          <w:p>
            <w:pPr>
              <w:spacing w:after="40"/>
            </w:pPr>
            <w:r>
              <w:rPr>
                <w:rFonts w:ascii="Consolas" w:hAnsi="Consolas" w:eastAsia="Calibri"/>
                <w:color w:val="16212C"/>
                <w:sz w:val="18"/>
              </w:rPr>
              <w:t>user.password_reset</w:t>
            </w:r>
          </w:p>
        </w:tc>
        <w:tc>
          <w:tcPr>
            <w:tcW w:type="dxa" w:w="3572"/>
            <w:shd w:val="clear" w:color="auto" w:fill="F5F5F1"/>
          </w:tcPr>
          <w:p>
            <w:pPr>
              <w:spacing w:after="40"/>
            </w:pPr>
            <w:r>
              <w:rPr>
                <w:rFonts w:ascii="Calibri" w:hAnsi="Calibri" w:eastAsia="Calibri"/>
                <w:color w:val="3B4750"/>
                <w:sz w:val="18"/>
              </w:rPr>
              <w:t>Administrador redefine a senha de outra conta</w:t>
            </w:r>
          </w:p>
        </w:tc>
        <w:tc>
          <w:tcPr>
            <w:tcW w:type="dxa" w:w="3572"/>
            <w:shd w:val="clear" w:color="auto" w:fill="F5F5F1"/>
          </w:tcPr>
          <w:p>
            <w:pPr>
              <w:spacing w:after="40"/>
            </w:pPr>
            <w:r>
              <w:rPr>
                <w:rFonts w:ascii="Calibri" w:hAnsi="Calibri" w:eastAsia="Calibri"/>
                <w:color w:val="3B4750"/>
                <w:sz w:val="18"/>
              </w:rPr>
              <w:t>Nome de usuário alvo (nunca a senha nova ou antiga)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Consolas" w:hAnsi="Consolas" w:eastAsia="Calibri"/>
                <w:color w:val="16212C"/>
                <w:sz w:val="18"/>
              </w:rPr>
              <w:t>user.change_password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rFonts w:ascii="Calibri" w:hAnsi="Calibri" w:eastAsia="Calibri"/>
                <w:color w:val="3B4750"/>
                <w:sz w:val="18"/>
              </w:rPr>
              <w:t>Usuário troca a própria senha</w:t>
            </w:r>
          </w:p>
        </w:tc>
        <w:tc>
          <w:tcPr>
            <w:tcW w:type="dxa" w:w="3572"/>
          </w:tcPr>
          <w:p>
            <w:pPr>
              <w:spacing w:after="40"/>
            </w:pPr>
            <w:r>
              <w:rPr>
                <w:rFonts w:ascii="Calibri" w:hAnsi="Calibri" w:eastAsia="Calibri"/>
                <w:color w:val="3B4750"/>
                <w:sz w:val="18"/>
              </w:rPr>
              <w:t>Nenhum além do próprio evento (autoatendimento)</w:t>
            </w:r>
          </w:p>
        </w:tc>
      </w:tr>
    </w:tbl>
    <w:p>
      <w:pPr>
        <w:spacing w:after="40"/>
      </w:pPr>
    </w:p>
    <w:p>
      <w:pPr>
        <w:keepNext/>
        <w:spacing w:before="440" w:after="160"/>
        <w:pBdr>
          <w:bottom w:val="single" w:sz="6" w:space="4" w:color="A9ADA0"/>
        </w:pBdr>
      </w:pPr>
      <w:r>
        <w:rPr>
          <w:rFonts w:ascii="Consolas" w:hAnsi="Consolas"/>
          <w:b/>
          <w:color w:val="1D3557"/>
          <w:sz w:val="26"/>
        </w:rPr>
        <w:t xml:space="preserve">6.  </w:t>
      </w:r>
      <w:r>
        <w:rPr>
          <w:rFonts w:ascii="Cambria" w:hAnsi="Cambria" w:eastAsia="Cambria"/>
          <w:b/>
          <w:color w:val="16212C"/>
          <w:sz w:val="30"/>
        </w:rPr>
        <w:t>Exclusões expressas de escopo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3B4750"/>
          <w:sz w:val="21"/>
        </w:rPr>
        <w:t>Ficam fora da trilha de auditoria, por decisão deliberada e não por omissão:</w:t>
      </w:r>
    </w:p>
    <w:p>
      <w:pPr>
        <w:spacing w:after="140"/>
        <w:ind w:left="510" w:hanging="510"/>
      </w:pPr>
      <w:r>
        <w:rPr>
          <w:rFonts w:ascii="Consolas" w:hAnsi="Consolas"/>
          <w:color w:val="5C6570"/>
          <w:sz w:val="18"/>
        </w:rPr>
        <w:t>6.1</w:t>
        <w:tab/>
      </w:r>
      <w:r>
        <w:rPr>
          <w:rFonts w:ascii="Calibri" w:hAnsi="Calibri" w:eastAsia="Calibri"/>
          <w:b/>
          <w:color w:val="16212C"/>
          <w:sz w:val="21"/>
        </w:rPr>
        <w:t xml:space="preserve">Login e logout. </w:t>
      </w:r>
      <w:r>
        <w:rPr>
          <w:rFonts w:ascii="Calibri" w:hAnsi="Calibri" w:eastAsia="Calibri"/>
          <w:color w:val="3B4750"/>
          <w:sz w:val="21"/>
        </w:rPr>
        <w:t>Esta norma cobre alteração de dado, não acesso. Autenticar-se ou sair não muda nenhum registro do sistema.</w:t>
      </w:r>
    </w:p>
    <w:p>
      <w:pPr>
        <w:spacing w:after="140"/>
        <w:ind w:left="510" w:hanging="510"/>
      </w:pPr>
      <w:r>
        <w:rPr>
          <w:rFonts w:ascii="Consolas" w:hAnsi="Consolas"/>
          <w:color w:val="5C6570"/>
          <w:sz w:val="18"/>
        </w:rPr>
        <w:t>6.2</w:t>
        <w:tab/>
      </w:r>
      <w:r>
        <w:rPr>
          <w:rFonts w:ascii="Calibri" w:hAnsi="Calibri" w:eastAsia="Calibri"/>
          <w:b/>
          <w:color w:val="16212C"/>
          <w:sz w:val="21"/>
        </w:rPr>
        <w:t xml:space="preserve">Leituras e consultas. </w:t>
      </w:r>
      <w:r>
        <w:rPr>
          <w:rFonts w:ascii="Calibri" w:hAnsi="Calibri" w:eastAsia="Calibri"/>
          <w:color w:val="3B4750"/>
          <w:sz w:val="21"/>
        </w:rPr>
        <w:t>Nenhum GET gera registro — abrir a tabela, o dashboard ou a própria página de auditoria não é um evento auditável.</w:t>
      </w:r>
    </w:p>
    <w:p>
      <w:pPr>
        <w:spacing w:after="140"/>
        <w:ind w:left="510" w:hanging="510"/>
      </w:pPr>
      <w:r>
        <w:rPr>
          <w:rFonts w:ascii="Consolas" w:hAnsi="Consolas"/>
          <w:color w:val="5C6570"/>
          <w:sz w:val="18"/>
        </w:rPr>
        <w:t>6.3</w:t>
        <w:tab/>
      </w:r>
      <w:r>
        <w:rPr>
          <w:rFonts w:ascii="Calibri" w:hAnsi="Calibri" w:eastAsia="Calibri"/>
          <w:b/>
          <w:color w:val="16212C"/>
          <w:sz w:val="21"/>
        </w:rPr>
        <w:t xml:space="preserve">Cópia automática de dia útil (carry-forward). </w:t>
      </w:r>
      <w:r>
        <w:rPr>
          <w:rFonts w:ascii="Calibri" w:hAnsi="Calibri" w:eastAsia="Calibri"/>
          <w:color w:val="3B4750"/>
          <w:sz w:val="21"/>
        </w:rPr>
        <w:t>A rotina que materializa um novo dia útil copiando os valores do último dia com dados (rodada a cada leitura e diariamente pelo cron) não altera nenhum valor — apenas estende para a frente um registro que já existia. Por não representar uma decisão humana de mudança, não gera entrada de auditoria.</w:t>
      </w:r>
    </w:p>
    <w:p>
      <w:pPr>
        <w:keepNext/>
        <w:spacing w:before="440" w:after="160"/>
        <w:pBdr>
          <w:bottom w:val="single" w:sz="6" w:space="4" w:color="A9ADA0"/>
        </w:pBdr>
      </w:pPr>
      <w:r>
        <w:rPr>
          <w:rFonts w:ascii="Consolas" w:hAnsi="Consolas"/>
          <w:b/>
          <w:color w:val="1D3557"/>
          <w:sz w:val="26"/>
        </w:rPr>
        <w:t xml:space="preserve">7.  </w:t>
      </w:r>
      <w:r>
        <w:rPr>
          <w:rFonts w:ascii="Cambria" w:hAnsi="Cambria" w:eastAsia="Cambria"/>
          <w:b/>
          <w:color w:val="16212C"/>
          <w:sz w:val="30"/>
        </w:rPr>
        <w:t>Vedações absolutas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2E2DE"/>
            <w:tcBorders>
              <w:left w:val="single" w:sz="24" w:color="7A2E2E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7A2E2E"/>
                <w:sz w:val="15"/>
              </w:rPr>
              <w:t>NUNCA PERMITIDO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 w:val="0"/>
                <w:color w:val="5C2020"/>
                <w:sz w:val="20"/>
              </w:rPr>
              <w:t xml:space="preserve">Senha em texto puro e hash de senha </w:t>
            </w:r>
            <w:r>
              <w:rPr>
                <w:rFonts w:ascii="Calibri" w:hAnsi="Calibri" w:eastAsia="Calibri"/>
                <w:b/>
                <w:color w:val="5C2020"/>
                <w:sz w:val="20"/>
              </w:rPr>
              <w:t>nunca</w:t>
            </w:r>
            <w:r>
              <w:rPr>
                <w:rFonts w:ascii="Calibri" w:hAnsi="Calibri" w:eastAsia="Calibri"/>
                <w:b w:val="0"/>
                <w:color w:val="5C2020"/>
                <w:sz w:val="20"/>
              </w:rPr>
              <w:t xml:space="preserve"> são gravados em nenhum registro de auditoria, em nenhuma circunstância — nem nos metadados de user.create, user.password_reset ou user.change_password. Esses eventos registram apenas o fato de a senha ter mudado e para qual conta, nunca o valor.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3B4750"/>
          <w:sz w:val="21"/>
        </w:rPr>
        <w:t>Essa vedação é estrutural: não existe, em nenhum ponto do código atual, uma rota que devolva a senha ou o hash de um usuário — a única operação possível sobre esse dado é escrita.</w:t>
      </w:r>
    </w:p>
    <w:p>
      <w:pPr>
        <w:keepNext/>
        <w:spacing w:before="440" w:after="160"/>
        <w:pBdr>
          <w:bottom w:val="single" w:sz="6" w:space="4" w:color="A9ADA0"/>
        </w:pBdr>
      </w:pPr>
      <w:r>
        <w:rPr>
          <w:rFonts w:ascii="Consolas" w:hAnsi="Consolas"/>
          <w:b/>
          <w:color w:val="1D3557"/>
          <w:sz w:val="26"/>
        </w:rPr>
        <w:t xml:space="preserve">8.  </w:t>
      </w:r>
      <w:r>
        <w:rPr>
          <w:rFonts w:ascii="Cambria" w:hAnsi="Cambria" w:eastAsia="Cambria"/>
          <w:b/>
          <w:color w:val="16212C"/>
          <w:sz w:val="30"/>
        </w:rPr>
        <w:t>Identificação do autor</w:t>
      </w:r>
    </w:p>
    <w:p>
      <w:pPr>
        <w:spacing w:after="160" w:before="0"/>
      </w:pPr>
      <w:r>
        <w:rPr>
          <w:rFonts w:ascii="Calibri" w:hAnsi="Calibri" w:eastAsia="Calibri"/>
          <w:b w:val="0"/>
          <w:color w:val="3B4750"/>
          <w:sz w:val="21"/>
        </w:rPr>
        <w:t xml:space="preserve">Todo registro carrega o </w:t>
      </w:r>
      <w:r>
        <w:rPr>
          <w:rFonts w:ascii="Consolas" w:hAnsi="Consolas"/>
          <w:color w:val="1D3557"/>
          <w:sz w:val="19"/>
        </w:rPr>
        <w:t>username</w:t>
      </w:r>
      <w:r>
        <w:rPr>
          <w:rFonts w:ascii="Calibri" w:hAnsi="Calibri" w:eastAsia="Calibri"/>
          <w:b w:val="0"/>
          <w:color w:val="3B4750"/>
          <w:sz w:val="21"/>
        </w:rPr>
        <w:t xml:space="preserve"> do autor de forma </w:t>
      </w:r>
      <w:r>
        <w:rPr>
          <w:rFonts w:ascii="Calibri" w:hAnsi="Calibri" w:eastAsia="Calibri"/>
          <w:b/>
          <w:color w:val="16212C"/>
          <w:sz w:val="21"/>
        </w:rPr>
        <w:t>desnormalizada</w:t>
      </w:r>
      <w:r>
        <w:rPr>
          <w:rFonts w:ascii="Calibri" w:hAnsi="Calibri" w:eastAsia="Calibri"/>
          <w:b w:val="0"/>
          <w:color w:val="3B4750"/>
          <w:sz w:val="21"/>
        </w:rPr>
        <w:t xml:space="preserve"> — ou seja, gravado como texto no próprio registro, não apenas como referência ao usuário. Isso garante que o histórico continue legível mesmo que a conta que praticou a ação seja excluída depois.</w:t>
      </w:r>
    </w:p>
    <w:p>
      <w:pPr>
        <w:spacing w:after="160" w:before="0"/>
      </w:pPr>
      <w:r>
        <w:rPr>
          <w:rFonts w:ascii="Calibri" w:hAnsi="Calibri" w:eastAsia="Calibri"/>
          <w:b w:val="0"/>
          <w:color w:val="3B4750"/>
          <w:sz w:val="21"/>
        </w:rPr>
        <w:t xml:space="preserve">Ações originadas fora de uma sessão de login — por exemplo, a recuperação de senha via script de linha de comando na VM — são atribuídas ao rótulo </w:t>
      </w:r>
      <w:r>
        <w:rPr>
          <w:rFonts w:ascii="Consolas" w:hAnsi="Consolas"/>
          <w:color w:val="1D3557"/>
          <w:sz w:val="19"/>
        </w:rPr>
        <w:t>sistema (script resetPassword.js)</w:t>
      </w:r>
      <w:r>
        <w:rPr>
          <w:rFonts w:ascii="Calibri" w:hAnsi="Calibri" w:eastAsia="Calibri"/>
          <w:b w:val="0"/>
          <w:color w:val="3B4750"/>
          <w:sz w:val="21"/>
        </w:rPr>
        <w:t xml:space="preserve">, com </w:t>
      </w:r>
      <w:r>
        <w:rPr>
          <w:rFonts w:ascii="Consolas" w:hAnsi="Consolas"/>
          <w:color w:val="1D3557"/>
          <w:sz w:val="19"/>
        </w:rPr>
        <w:t>userId</w:t>
      </w:r>
      <w:r>
        <w:rPr>
          <w:rFonts w:ascii="Calibri" w:hAnsi="Calibri" w:eastAsia="Calibri"/>
          <w:b w:val="0"/>
          <w:color w:val="3B4750"/>
          <w:sz w:val="21"/>
        </w:rPr>
        <w:t xml:space="preserve"> nulo, preservando o registro mesmo sem um usuário autenticado por trás.</w:t>
      </w:r>
    </w:p>
    <w:p>
      <w:pPr>
        <w:keepNext/>
        <w:spacing w:before="440" w:after="160"/>
        <w:pBdr>
          <w:bottom w:val="single" w:sz="6" w:space="4" w:color="A9ADA0"/>
        </w:pBdr>
      </w:pPr>
      <w:r>
        <w:rPr>
          <w:rFonts w:ascii="Consolas" w:hAnsi="Consolas"/>
          <w:b/>
          <w:color w:val="1D3557"/>
          <w:sz w:val="26"/>
        </w:rPr>
        <w:t xml:space="preserve">9.  </w:t>
      </w:r>
      <w:r>
        <w:rPr>
          <w:rFonts w:ascii="Cambria" w:hAnsi="Cambria" w:eastAsia="Cambria"/>
          <w:b/>
          <w:color w:val="16212C"/>
          <w:sz w:val="30"/>
        </w:rPr>
        <w:t>Controle de acesso aos registros</w:t>
      </w:r>
    </w:p>
    <w:p>
      <w:pPr>
        <w:spacing w:after="140"/>
        <w:ind w:left="510" w:hanging="510"/>
      </w:pPr>
      <w:r>
        <w:rPr>
          <w:rFonts w:ascii="Consolas" w:hAnsi="Consolas"/>
          <w:color w:val="5C6570"/>
          <w:sz w:val="18"/>
        </w:rPr>
        <w:t>9.1</w:t>
        <w:tab/>
      </w:r>
      <w:r>
        <w:rPr>
          <w:rFonts w:ascii="Calibri" w:hAnsi="Calibri" w:eastAsia="Calibri"/>
          <w:color w:val="3B4750"/>
          <w:sz w:val="21"/>
        </w:rPr>
        <w:t>A consulta aos registros é exclusiva do papel admin, tanto na página /admin/audit-logs quanto na API /api/admin/audit-logs — reforçado no middleware da aplicação, antes mesmo de a rota executar.</w:t>
      </w:r>
    </w:p>
    <w:p>
      <w:pPr>
        <w:spacing w:after="140"/>
        <w:ind w:left="510" w:hanging="510"/>
      </w:pPr>
      <w:r>
        <w:rPr>
          <w:rFonts w:ascii="Consolas" w:hAnsi="Consolas"/>
          <w:color w:val="5C6570"/>
          <w:sz w:val="18"/>
        </w:rPr>
        <w:t>9.2</w:t>
        <w:tab/>
      </w:r>
      <w:r>
        <w:rPr>
          <w:rFonts w:ascii="Calibri" w:hAnsi="Calibri" w:eastAsia="Calibri"/>
          <w:color w:val="3B4750"/>
          <w:sz w:val="21"/>
        </w:rPr>
        <w:t>Um usuário com papel user que tentar acessar a página é redirecionado; a mesma tentativa via API recebe 403.</w:t>
      </w:r>
    </w:p>
    <w:p>
      <w:pPr>
        <w:spacing w:after="140"/>
        <w:ind w:left="510" w:hanging="510"/>
      </w:pPr>
      <w:r>
        <w:rPr>
          <w:rFonts w:ascii="Consolas" w:hAnsi="Consolas"/>
          <w:color w:val="5C6570"/>
          <w:sz w:val="18"/>
        </w:rPr>
        <w:t>9.3</w:t>
        <w:tab/>
      </w:r>
      <w:r>
        <w:rPr>
          <w:rFonts w:ascii="Calibri" w:hAnsi="Calibri" w:eastAsia="Calibri"/>
          <w:color w:val="3B4750"/>
          <w:sz w:val="21"/>
        </w:rPr>
        <w:t>Não existe, hoje, um segundo nível de permissão dentro do papel admin — todo administrador vê a trilha completa, de todos os autores e todas as ações.</w:t>
      </w:r>
    </w:p>
    <w:p>
      <w:pPr>
        <w:keepNext/>
        <w:spacing w:before="440" w:after="160"/>
        <w:pBdr>
          <w:bottom w:val="single" w:sz="6" w:space="4" w:color="A9ADA0"/>
        </w:pBdr>
      </w:pPr>
      <w:r>
        <w:rPr>
          <w:rFonts w:ascii="Consolas" w:hAnsi="Consolas"/>
          <w:b/>
          <w:color w:val="1D3557"/>
          <w:sz w:val="26"/>
        </w:rPr>
        <w:t xml:space="preserve">10.  </w:t>
      </w:r>
      <w:r>
        <w:rPr>
          <w:rFonts w:ascii="Cambria" w:hAnsi="Cambria" w:eastAsia="Cambria"/>
          <w:b/>
          <w:color w:val="16212C"/>
          <w:sz w:val="30"/>
        </w:rPr>
        <w:t>Integridade e limitações conhecidas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E2EBE0"/>
            <w:tcBorders>
              <w:left w:val="single" w:sz="24" w:color="2F5D3A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2F5D3A"/>
                <w:sz w:val="15"/>
              </w:rPr>
              <w:t>GARANTIDO HOJE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 w:val="0"/>
                <w:color w:val="16212C"/>
                <w:sz w:val="20"/>
              </w:rPr>
              <w:t>A tabela AuditLog só é criada, nunca atualizada ou apagada por nenhuma rota da aplicação — não existe endpoint de edição ou exclusão de registro de auditoria.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BFBF8"/>
            <w:tcBorders>
              <w:left w:val="single" w:sz="24" w:color="1D3557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1D3557"/>
                <w:sz w:val="15"/>
              </w:rPr>
              <w:t>LIMITAÇÃO CONHECIDA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 w:val="0"/>
                <w:color w:val="16212C"/>
                <w:sz w:val="20"/>
              </w:rPr>
              <w:t>Como o registro é best-effort (Seção 4.2), uma falha pontual de escrita no log — por exemplo, uma indisponibilidade momentânea do banco entre a alteração de dado e a gravação do log — produz uma lacuna silenciosa na trilha: a alteração de dado é mantida, mas o registro correspondente não existe. Essa falha fica no console do servidor, não em nenhuma interface visível para o administrador.</w:t>
            </w:r>
          </w:p>
        </w:tc>
      </w:tr>
    </w:tbl>
    <w:p>
      <w:pPr>
        <w:spacing w:after="40"/>
      </w:pPr>
    </w:p>
    <w:p>
      <w:pPr>
        <w:keepNext/>
        <w:spacing w:before="440" w:after="160"/>
        <w:pBdr>
          <w:bottom w:val="single" w:sz="6" w:space="4" w:color="A9ADA0"/>
        </w:pBdr>
      </w:pPr>
      <w:r>
        <w:rPr>
          <w:rFonts w:ascii="Consolas" w:hAnsi="Consolas"/>
          <w:b/>
          <w:color w:val="1D3557"/>
          <w:sz w:val="26"/>
        </w:rPr>
        <w:t xml:space="preserve">11.  </w:t>
      </w:r>
      <w:r>
        <w:rPr>
          <w:rFonts w:ascii="Cambria" w:hAnsi="Cambria" w:eastAsia="Cambria"/>
          <w:b/>
          <w:color w:val="16212C"/>
          <w:sz w:val="30"/>
        </w:rPr>
        <w:t>Retenção e expurgo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5669"/>
            <w:shd w:val="clear" w:color="auto" w:fill="DDE4EC"/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1D3557"/>
                <w:sz w:val="15"/>
              </w:rPr>
              <w:t>ITEM</w:t>
            </w:r>
          </w:p>
        </w:tc>
        <w:tc>
          <w:tcPr>
            <w:tcW w:type="dxa" w:w="3515"/>
            <w:shd w:val="clear" w:color="auto" w:fill="DDE4EC"/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1D3557"/>
                <w:sz w:val="15"/>
              </w:rPr>
              <w:t>STATUS</w:t>
            </w:r>
          </w:p>
        </w:tc>
      </w:tr>
      <w:tr>
        <w:tc>
          <w:tcPr>
            <w:tcW w:type="dxa" w:w="5669"/>
          </w:tcPr>
          <w:p>
            <w:pPr>
              <w:spacing w:after="40"/>
            </w:pPr>
            <w:r>
              <w:rPr>
                <w:rFonts w:ascii="Calibri" w:hAnsi="Calibri" w:eastAsia="Calibri"/>
                <w:color w:val="3B4750"/>
                <w:sz w:val="18"/>
              </w:rPr>
              <w:t>Política de retenção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Calibri" w:hAnsi="Calibri" w:eastAsia="Calibri"/>
                <w:color w:val="3B4750"/>
                <w:sz w:val="18"/>
              </w:rPr>
              <w:t>Não definida</w:t>
            </w:r>
          </w:p>
        </w:tc>
      </w:tr>
      <w:tr>
        <w:tc>
          <w:tcPr>
            <w:tcW w:type="dxa" w:w="5669"/>
            <w:shd w:val="clear" w:color="auto" w:fill="F5F5F1"/>
          </w:tcPr>
          <w:p>
            <w:pPr>
              <w:spacing w:after="40"/>
            </w:pPr>
            <w:r>
              <w:rPr>
                <w:rFonts w:ascii="Calibri" w:hAnsi="Calibri" w:eastAsia="Calibri"/>
                <w:color w:val="3B4750"/>
                <w:sz w:val="18"/>
              </w:rPr>
              <w:t>Expurgo automático de registros antigos</w:t>
            </w:r>
          </w:p>
        </w:tc>
        <w:tc>
          <w:tcPr>
            <w:tcW w:type="dxa" w:w="3515"/>
            <w:shd w:val="clear" w:color="auto" w:fill="F5F5F1"/>
          </w:tcPr>
          <w:p>
            <w:pPr>
              <w:spacing w:after="40"/>
            </w:pPr>
            <w:r>
              <w:rPr>
                <w:rFonts w:ascii="Calibri" w:hAnsi="Calibri" w:eastAsia="Calibri"/>
                <w:color w:val="3B4750"/>
                <w:sz w:val="18"/>
              </w:rPr>
              <w:t>Não implementado</w:t>
            </w:r>
          </w:p>
        </w:tc>
      </w:tr>
      <w:tr>
        <w:tc>
          <w:tcPr>
            <w:tcW w:type="dxa" w:w="5669"/>
          </w:tcPr>
          <w:p>
            <w:pPr>
              <w:spacing w:after="40"/>
            </w:pPr>
            <w:r>
              <w:rPr>
                <w:rFonts w:ascii="Calibri" w:hAnsi="Calibri" w:eastAsia="Calibri"/>
                <w:color w:val="3B4750"/>
                <w:sz w:val="18"/>
              </w:rPr>
              <w:t>Exportação (CSV ou similar)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Calibri" w:hAnsi="Calibri" w:eastAsia="Calibri"/>
                <w:color w:val="3B4750"/>
                <w:sz w:val="18"/>
              </w:rPr>
              <w:t>Não implementado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3B4750"/>
          <w:sz w:val="21"/>
        </w:rPr>
        <w:t>A tabela cresce indefinidamente. Esta é uma decisão pendente, não um comportamento definitivo — deve ser revisitada se o volume de registros passar a afetar desempenho de consulta ou custo de armazenamento, ou se surgir uma exigência de retenção máxima.</w:t>
      </w:r>
    </w:p>
    <w:p>
      <w:pPr>
        <w:keepNext/>
        <w:spacing w:before="440" w:after="160"/>
        <w:pBdr>
          <w:bottom w:val="single" w:sz="6" w:space="4" w:color="A9ADA0"/>
        </w:pBdr>
      </w:pPr>
      <w:r>
        <w:rPr>
          <w:rFonts w:ascii="Consolas" w:hAnsi="Consolas"/>
          <w:b/>
          <w:color w:val="1D3557"/>
          <w:sz w:val="26"/>
        </w:rPr>
        <w:t xml:space="preserve">12.  </w:t>
      </w:r>
      <w:r>
        <w:rPr>
          <w:rFonts w:ascii="Cambria" w:hAnsi="Cambria" w:eastAsia="Cambria"/>
          <w:b/>
          <w:color w:val="16212C"/>
          <w:sz w:val="30"/>
        </w:rPr>
        <w:t>Responsabilidades</w:t>
      </w:r>
    </w:p>
    <w:p>
      <w:pPr>
        <w:spacing w:after="140"/>
        <w:ind w:left="510" w:hanging="510"/>
      </w:pPr>
      <w:r>
        <w:rPr>
          <w:rFonts w:ascii="Consolas" w:hAnsi="Consolas"/>
          <w:color w:val="5C6570"/>
          <w:sz w:val="18"/>
        </w:rPr>
        <w:t>12.1</w:t>
        <w:tab/>
      </w:r>
      <w:r>
        <w:rPr>
          <w:rFonts w:ascii="Calibri" w:hAnsi="Calibri" w:eastAsia="Calibri"/>
          <w:color w:val="3B4750"/>
          <w:sz w:val="21"/>
        </w:rPr>
        <w:t>Cabe a qualquer administrador do sistema consultar a trilha de auditoria sempre que precisar reconstituir o histórico de uma alteração contestada — ela é a fonte de verdade para “quem mudou o quê, e quando”.</w:t>
      </w:r>
    </w:p>
    <w:p>
      <w:pPr>
        <w:spacing w:after="140"/>
        <w:ind w:left="510" w:hanging="510"/>
      </w:pPr>
      <w:r>
        <w:rPr>
          <w:rFonts w:ascii="Consolas" w:hAnsi="Consolas"/>
          <w:color w:val="5C6570"/>
          <w:sz w:val="18"/>
        </w:rPr>
        <w:t>12.2</w:t>
        <w:tab/>
      </w:r>
      <w:r>
        <w:rPr>
          <w:rFonts w:ascii="Calibri" w:hAnsi="Calibri" w:eastAsia="Calibri"/>
          <w:color w:val="3B4750"/>
          <w:sz w:val="21"/>
        </w:rPr>
        <w:t>Cabe à equipe que mantém o código garantir que toda nova rota que altere dado no sistema seja instrumentada com um registro de auditoria antes de ir para produção — o escopo da Seção 5 deve crescer junto com o sistema, não ficar defasado dele.</w:t>
      </w:r>
    </w:p>
    <w:p>
      <w:pPr>
        <w:keepNext/>
        <w:spacing w:before="440" w:after="160"/>
        <w:pBdr>
          <w:bottom w:val="single" w:sz="6" w:space="4" w:color="A9ADA0"/>
        </w:pBdr>
      </w:pPr>
      <w:r>
        <w:rPr>
          <w:rFonts w:ascii="Consolas" w:hAnsi="Consolas"/>
          <w:b/>
          <w:color w:val="1D3557"/>
          <w:sz w:val="26"/>
        </w:rPr>
        <w:t xml:space="preserve">13.  </w:t>
      </w:r>
      <w:r>
        <w:rPr>
          <w:rFonts w:ascii="Cambria" w:hAnsi="Cambria" w:eastAsia="Cambria"/>
          <w:b/>
          <w:color w:val="16212C"/>
          <w:sz w:val="30"/>
        </w:rPr>
        <w:t>Vigência e histórico de versões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3B4750"/>
          <w:sz w:val="21"/>
        </w:rPr>
        <w:t>Esta norma entra em vigor na data de publicação abaixo e permanece válida até ser formalmente revisada. Deve ser revisada sempre que o escopo de eventos auditados (Seção 5) mudar, ou quando uma decisão for tomada sobre retenção (Seção 11).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247"/>
            <w:shd w:val="clear" w:color="auto" w:fill="DDE4EC"/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1D3557"/>
                <w:sz w:val="15"/>
              </w:rPr>
              <w:t>VERSÃO</w:t>
            </w:r>
          </w:p>
        </w:tc>
        <w:tc>
          <w:tcPr>
            <w:tcW w:type="dxa" w:w="1587"/>
            <w:shd w:val="clear" w:color="auto" w:fill="DDE4EC"/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1D3557"/>
                <w:sz w:val="15"/>
              </w:rPr>
              <w:t>DATA</w:t>
            </w:r>
          </w:p>
        </w:tc>
        <w:tc>
          <w:tcPr>
            <w:tcW w:type="dxa" w:w="6350"/>
            <w:shd w:val="clear" w:color="auto" w:fill="DDE4EC"/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1D3557"/>
                <w:sz w:val="15"/>
              </w:rPr>
              <w:t>ALTERAÇÃO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Consolas" w:hAnsi="Consolas" w:eastAsia="Calibri"/>
                <w:color w:val="16212C"/>
                <w:sz w:val="18"/>
              </w:rPr>
              <w:t>1.0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onsolas" w:hAnsi="Consolas" w:eastAsia="Calibri"/>
                <w:color w:val="16212C"/>
                <w:sz w:val="18"/>
              </w:rPr>
              <w:t>2026-08-24</w:t>
            </w:r>
          </w:p>
        </w:tc>
        <w:tc>
          <w:tcPr>
            <w:tcW w:type="dxa" w:w="6350"/>
          </w:tcPr>
          <w:p>
            <w:pPr>
              <w:spacing w:after="40"/>
            </w:pPr>
            <w:r>
              <w:rPr>
                <w:rFonts w:ascii="Calibri" w:hAnsi="Calibri" w:eastAsia="Calibri"/>
                <w:color w:val="3B4750"/>
                <w:sz w:val="18"/>
              </w:rPr>
              <w:t>Publicação inicial — documenta o comportamento do módulo de auditoria implementado em 2026-08-21.</w:t>
            </w:r>
          </w:p>
        </w:tc>
      </w:tr>
    </w:tbl>
    <w:p>
      <w:pPr>
        <w:spacing w:after="40"/>
      </w:pPr>
    </w:p>
    <w:p>
      <w:pPr>
        <w:spacing w:after="80"/>
      </w:pPr>
    </w:p>
    <w:p>
      <w:pPr>
        <w:pBdr>
          <w:top w:val="single" w:sz="6" w:space="6" w:color="CDD0C6"/>
        </w:pBdr>
      </w:pPr>
      <w:r>
        <w:rPr>
          <w:i/>
          <w:color w:val="5C6570"/>
          <w:sz w:val="17"/>
        </w:rPr>
        <w:t>Documento de norma interna do sistema 出勤率 / Taxa de Frequência. Reflete o comportamento do código em lib/audit.ts e das rotas que o instrumentam na data de publicação — não é uma especificação prospectiva.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7" w:lineRule="auto"/>
    </w:pPr>
    <w:rPr>
      <w:rFonts w:ascii="Calibri" w:hAnsi="Calibri"/>
      <w:color w:val="3B475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