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40A2" w:rsidRDefault="00C9616C">
      <w:pPr>
        <w:spacing w:after="60"/>
      </w:pPr>
      <w:proofErr w:type="gramStart"/>
      <w:r>
        <w:rPr>
          <w:color w:val="AAAAAA"/>
          <w:sz w:val="18"/>
          <w:szCs w:val="18"/>
        </w:rPr>
        <w:t>alabproperty.com/legal</w:t>
      </w:r>
      <w:proofErr w:type="gramEnd"/>
    </w:p>
    <w:p w:rsidR="00E340A2" w:rsidRDefault="00C9616C">
      <w:pPr>
        <w:pBdr>
          <w:bottom w:val="single" w:sz="8" w:space="4" w:color="C5A24A"/>
        </w:pBdr>
        <w:spacing w:before="400" w:after="120"/>
      </w:pPr>
      <w:r>
        <w:rPr>
          <w:b/>
          <w:bCs/>
          <w:color w:val="1A3A5C"/>
          <w:sz w:val="36"/>
          <w:szCs w:val="36"/>
        </w:rPr>
        <w:t>Secure Investments &amp; Legal Clarity</w:t>
      </w:r>
    </w:p>
    <w:p w:rsidR="00E340A2" w:rsidRDefault="00C9616C">
      <w:pPr>
        <w:spacing w:before="80" w:after="80"/>
      </w:pPr>
      <w:r>
        <w:rPr>
          <w:color w:val="555555"/>
        </w:rPr>
        <w:t>Buying property in Thailand comes with legal steps that require expert guidance. Every transaction through A.L.A.B Property is backed by qualified legal support — so you invest with full confidence.</w:t>
      </w:r>
    </w:p>
    <w:p w:rsidR="00E340A2" w:rsidRDefault="00E340A2">
      <w:pPr>
        <w:spacing w:before="16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340A2">
        <w:tblPrEx>
          <w:tblCellMar>
            <w:top w:w="0" w:type="dxa"/>
            <w:bottom w:w="0" w:type="dxa"/>
          </w:tblCellMar>
        </w:tblPrEx>
        <w:tc>
          <w:tcPr>
            <w:tcW w:w="9360" w:type="dxa"/>
            <w:tcBorders>
              <w:top w:val="single" w:sz="12" w:space="0" w:color="1A3A5C"/>
              <w:left w:val="none" w:sz="0" w:space="0" w:color="FFFFFF"/>
              <w:bottom w:val="none" w:sz="0" w:space="0" w:color="FFFFFF"/>
              <w:right w:val="none" w:sz="0" w:space="0" w:color="FFFFFF"/>
            </w:tcBorders>
            <w:shd w:val="clear" w:color="auto" w:fill="E8EEF4"/>
            <w:tcMar>
              <w:top w:w="160" w:type="dxa"/>
              <w:left w:w="200" w:type="dxa"/>
              <w:bottom w:w="160" w:type="dxa"/>
              <w:right w:w="200" w:type="dxa"/>
            </w:tcMar>
          </w:tcPr>
          <w:p w:rsidR="00E340A2" w:rsidRDefault="00C9616C">
            <w:pPr>
              <w:spacing w:after="60"/>
            </w:pPr>
            <w:r>
              <w:rPr>
                <w:b/>
                <w:bCs/>
                <w:color w:val="1A3A5C"/>
              </w:rPr>
              <w:t>Legal matters managed by A.L.A.B Consultant</w:t>
            </w:r>
          </w:p>
          <w:p w:rsidR="00E340A2" w:rsidRDefault="00C9616C">
            <w:r>
              <w:rPr>
                <w:color w:val="555555"/>
                <w:sz w:val="20"/>
                <w:szCs w:val="20"/>
              </w:rPr>
              <w:t>All legal se</w:t>
            </w:r>
            <w:r>
              <w:rPr>
                <w:color w:val="555555"/>
                <w:sz w:val="20"/>
                <w:szCs w:val="20"/>
              </w:rPr>
              <w:t>rvices are handled by our affiliated law firm, A.L.A.B Consultant Co., Ltd. — a licensed law practice with over 15 years of experience in Thai property and business law, serving clients in English and Thai. Website: alabconsultant.com</w:t>
            </w:r>
          </w:p>
        </w:tc>
      </w:tr>
    </w:tbl>
    <w:p w:rsidR="00E340A2" w:rsidRDefault="00E340A2">
      <w:pPr>
        <w:pBdr>
          <w:bottom w:val="single" w:sz="4" w:space="1" w:color="DDDDDD"/>
        </w:pBdr>
        <w:spacing w:before="200" w:after="200"/>
      </w:pPr>
    </w:p>
    <w:p w:rsidR="00E340A2" w:rsidRDefault="00C9616C">
      <w:pPr>
        <w:spacing w:before="60" w:after="40"/>
      </w:pPr>
      <w:r>
        <w:rPr>
          <w:b/>
          <w:bCs/>
          <w:color w:val="999999"/>
          <w:sz w:val="17"/>
          <w:szCs w:val="17"/>
        </w:rPr>
        <w:t>TYPES OF OWNERSHIP</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340A2">
        <w:tblPrEx>
          <w:tblCellMar>
            <w:top w:w="0" w:type="dxa"/>
            <w:bottom w:w="0" w:type="dxa"/>
          </w:tblCellMar>
        </w:tblPrEx>
        <w:tc>
          <w:tcPr>
            <w:tcW w:w="4560" w:type="dxa"/>
            <w:tcBorders>
              <w:top w:val="single" w:sz="4" w:space="0" w:color="DDDDDD"/>
              <w:left w:val="single" w:sz="4" w:space="0" w:color="DDDDDD"/>
              <w:bottom w:val="single" w:sz="4" w:space="0" w:color="DDDDDD"/>
              <w:right w:val="single" w:sz="4" w:space="0" w:color="DDDDDD"/>
            </w:tcBorders>
            <w:shd w:val="clear" w:color="auto" w:fill="F5F5F5"/>
            <w:tcMar>
              <w:top w:w="120" w:type="dxa"/>
              <w:left w:w="160" w:type="dxa"/>
              <w:bottom w:w="120" w:type="dxa"/>
              <w:right w:w="160" w:type="dxa"/>
            </w:tcMar>
          </w:tcPr>
          <w:p w:rsidR="00E340A2" w:rsidRDefault="00C9616C">
            <w:pPr>
              <w:spacing w:after="40"/>
            </w:pPr>
            <w:r>
              <w:rPr>
                <w:b/>
                <w:bCs/>
                <w:color w:val="1A3A5C"/>
                <w:sz w:val="21"/>
                <w:szCs w:val="21"/>
              </w:rPr>
              <w:t>Freehold</w:t>
            </w:r>
          </w:p>
          <w:p w:rsidR="00E340A2" w:rsidRDefault="00C9616C">
            <w:r>
              <w:rPr>
                <w:color w:val="555555"/>
                <w:sz w:val="19"/>
                <w:szCs w:val="19"/>
              </w:rPr>
              <w:t>Full ownership of the property with no time limit. Available to Thai nationals and foreign nationals for condominium units under the Condominium Act (foreign quota up to 49% of the building).</w:t>
            </w:r>
          </w:p>
          <w:p w:rsidR="00E340A2" w:rsidRDefault="00C9616C">
            <w:pPr>
              <w:spacing w:before="60"/>
            </w:pPr>
            <w:proofErr w:type="spellStart"/>
            <w:r>
              <w:rPr>
                <w:color w:val="777777"/>
                <w:sz w:val="17"/>
                <w:szCs w:val="17"/>
              </w:rPr>
              <w:t>Chanote</w:t>
            </w:r>
            <w:proofErr w:type="spellEnd"/>
            <w:r>
              <w:rPr>
                <w:color w:val="777777"/>
                <w:sz w:val="17"/>
                <w:szCs w:val="17"/>
              </w:rPr>
              <w:t xml:space="preserve"> title deed  ·  Condominium Act  ·  Foreign quot</w:t>
            </w:r>
            <w:r>
              <w:rPr>
                <w:color w:val="777777"/>
                <w:sz w:val="17"/>
                <w:szCs w:val="17"/>
              </w:rPr>
              <w:t>a</w:t>
            </w:r>
          </w:p>
        </w:tc>
        <w:tc>
          <w:tcPr>
            <w:tcW w:w="4560" w:type="dxa"/>
            <w:tcBorders>
              <w:top w:val="single" w:sz="4" w:space="0" w:color="DDDDDD"/>
              <w:left w:val="single" w:sz="4" w:space="0" w:color="DDDDDD"/>
              <w:bottom w:val="single" w:sz="4" w:space="0" w:color="DDDDDD"/>
              <w:right w:val="single" w:sz="4" w:space="0" w:color="DDDDDD"/>
            </w:tcBorders>
            <w:shd w:val="clear" w:color="auto" w:fill="F5F5F5"/>
            <w:tcMar>
              <w:top w:w="120" w:type="dxa"/>
              <w:left w:w="160" w:type="dxa"/>
              <w:bottom w:w="120" w:type="dxa"/>
              <w:right w:w="160" w:type="dxa"/>
            </w:tcMar>
          </w:tcPr>
          <w:p w:rsidR="00E340A2" w:rsidRDefault="00C9616C">
            <w:pPr>
              <w:spacing w:after="40"/>
            </w:pPr>
            <w:r>
              <w:rPr>
                <w:b/>
                <w:bCs/>
                <w:color w:val="1A3A5C"/>
                <w:sz w:val="21"/>
                <w:szCs w:val="21"/>
              </w:rPr>
              <w:t>Leasehold</w:t>
            </w:r>
          </w:p>
          <w:p w:rsidR="00E340A2" w:rsidRDefault="00C9616C">
            <w:r>
              <w:rPr>
                <w:color w:val="555555"/>
                <w:sz w:val="19"/>
                <w:szCs w:val="19"/>
              </w:rPr>
              <w:t>Long-term lease agreements typically for 30 years, renewable by contract. A common and legally recognized option for foreign buyers who cannot hold freehold title on land or houses.</w:t>
            </w:r>
          </w:p>
          <w:p w:rsidR="00E340A2" w:rsidRDefault="00C9616C">
            <w:pPr>
              <w:spacing w:before="60"/>
            </w:pPr>
            <w:r>
              <w:rPr>
                <w:color w:val="777777"/>
                <w:sz w:val="17"/>
                <w:szCs w:val="17"/>
              </w:rPr>
              <w:t>30-year lease  ·  Renewable  ·  Land &amp; house</w:t>
            </w:r>
          </w:p>
        </w:tc>
      </w:tr>
    </w:tbl>
    <w:p w:rsidR="00E340A2" w:rsidRDefault="00E340A2">
      <w:pPr>
        <w:pBdr>
          <w:bottom w:val="single" w:sz="4" w:space="1" w:color="DDDDDD"/>
        </w:pBdr>
        <w:spacing w:before="200" w:after="200"/>
      </w:pPr>
    </w:p>
    <w:p w:rsidR="00E340A2" w:rsidRDefault="00C9616C">
      <w:pPr>
        <w:spacing w:before="60" w:after="40"/>
      </w:pPr>
      <w:r>
        <w:rPr>
          <w:b/>
          <w:bCs/>
          <w:color w:val="999999"/>
          <w:sz w:val="17"/>
          <w:szCs w:val="17"/>
        </w:rPr>
        <w:t>DUE DILIGENCE</w:t>
      </w:r>
    </w:p>
    <w:p w:rsidR="00E340A2" w:rsidRDefault="00C9616C">
      <w:pPr>
        <w:spacing w:before="280" w:after="100"/>
      </w:pPr>
      <w:r>
        <w:rPr>
          <w:b/>
          <w:bCs/>
          <w:color w:val="1A3A5C"/>
          <w:sz w:val="26"/>
          <w:szCs w:val="26"/>
        </w:rPr>
        <w:t>D</w:t>
      </w:r>
      <w:r>
        <w:rPr>
          <w:b/>
          <w:bCs/>
          <w:color w:val="1A3A5C"/>
          <w:sz w:val="26"/>
          <w:szCs w:val="26"/>
        </w:rPr>
        <w:t>eveloper &amp; Title Verification</w:t>
      </w:r>
    </w:p>
    <w:p w:rsidR="00E340A2" w:rsidRDefault="00C9616C">
      <w:pPr>
        <w:spacing w:before="80" w:after="80"/>
      </w:pPr>
      <w:r>
        <w:rPr>
          <w:color w:val="555555"/>
        </w:rPr>
        <w:t>Before any purchase, our legal team verifies land ownership rights, title deed type, encumbrances, developer credibility, and project licenses. We ensure what is being sold is legally clear and free of hidden liabilities — so there are no surprises after s</w:t>
      </w:r>
      <w:r>
        <w:rPr>
          <w:color w:val="555555"/>
        </w:rPr>
        <w:t>igning.</w:t>
      </w:r>
    </w:p>
    <w:p w:rsidR="00E340A2" w:rsidRDefault="00C9616C">
      <w:pPr>
        <w:spacing w:before="60" w:after="160"/>
      </w:pPr>
      <w:r>
        <w:rPr>
          <w:color w:val="1A3A5C"/>
          <w:sz w:val="18"/>
          <w:szCs w:val="18"/>
        </w:rPr>
        <w:t>Title deed check   ·   Encumbrance search   ·   Developer background   ·   Project permit</w:t>
      </w:r>
    </w:p>
    <w:p w:rsidR="00E340A2" w:rsidRDefault="00E340A2">
      <w:pPr>
        <w:pBdr>
          <w:bottom w:val="single" w:sz="4" w:space="1" w:color="DDDDDD"/>
        </w:pBdr>
        <w:spacing w:before="200" w:after="200"/>
      </w:pPr>
    </w:p>
    <w:p w:rsidR="00E340A2" w:rsidRDefault="00C9616C">
      <w:pPr>
        <w:spacing w:before="60" w:after="40"/>
      </w:pPr>
      <w:r>
        <w:rPr>
          <w:b/>
          <w:bCs/>
          <w:color w:val="999999"/>
          <w:sz w:val="17"/>
          <w:szCs w:val="17"/>
        </w:rPr>
        <w:t>TRANSACTION JOURNEY</w:t>
      </w:r>
    </w:p>
    <w:p w:rsidR="00E340A2" w:rsidRDefault="00C9616C">
      <w:pPr>
        <w:spacing w:before="280" w:after="100"/>
      </w:pPr>
      <w:r>
        <w:rPr>
          <w:b/>
          <w:bCs/>
          <w:color w:val="1A3A5C"/>
          <w:sz w:val="26"/>
          <w:szCs w:val="26"/>
        </w:rPr>
        <w:t>From Deposit to Keys</w:t>
      </w:r>
    </w:p>
    <w:p w:rsidR="00E340A2" w:rsidRDefault="00C9616C">
      <w:pPr>
        <w:spacing w:before="80" w:after="80"/>
      </w:pPr>
      <w:r>
        <w:rPr>
          <w:color w:val="555555"/>
        </w:rPr>
        <w:t>We guide you through every stage of the transaction — from the initial reservation deposit, through the Sales &amp; Purc</w:t>
      </w:r>
      <w:r>
        <w:rPr>
          <w:color w:val="555555"/>
        </w:rPr>
        <w:t>hase Agreement, all the way to the official transfer of ownership at the Land Department. Our legal team reviews every document at each step.</w:t>
      </w:r>
    </w:p>
    <w:p w:rsidR="00E340A2" w:rsidRDefault="00C9616C">
      <w:pPr>
        <w:spacing w:before="60" w:after="160"/>
      </w:pPr>
      <w:r>
        <w:rPr>
          <w:color w:val="1A3A5C"/>
          <w:sz w:val="18"/>
          <w:szCs w:val="18"/>
        </w:rPr>
        <w:t>Deposit   ·   Sales &amp; Purchase Agreement   ·   Land Department transfer   ·   Title deed handover</w:t>
      </w:r>
    </w:p>
    <w:p w:rsidR="00E340A2" w:rsidRDefault="00E340A2">
      <w:pPr>
        <w:pBdr>
          <w:bottom w:val="single" w:sz="4" w:space="1" w:color="DDDDDD"/>
        </w:pBdr>
        <w:spacing w:before="200" w:after="200"/>
      </w:pPr>
    </w:p>
    <w:p w:rsidR="00E340A2" w:rsidRDefault="00C9616C">
      <w:pPr>
        <w:spacing w:before="60" w:after="40"/>
      </w:pPr>
      <w:r>
        <w:rPr>
          <w:b/>
          <w:bCs/>
          <w:color w:val="999999"/>
          <w:sz w:val="17"/>
          <w:szCs w:val="17"/>
        </w:rPr>
        <w:t>TAXES &amp; FEES</w:t>
      </w:r>
    </w:p>
    <w:p w:rsidR="00E340A2" w:rsidRDefault="00C9616C">
      <w:pPr>
        <w:spacing w:before="280" w:after="100"/>
      </w:pPr>
      <w:r>
        <w:rPr>
          <w:b/>
          <w:bCs/>
          <w:color w:val="1A3A5C"/>
          <w:sz w:val="26"/>
          <w:szCs w:val="26"/>
        </w:rPr>
        <w:t>Tr</w:t>
      </w:r>
      <w:r>
        <w:rPr>
          <w:b/>
          <w:bCs/>
          <w:color w:val="1A3A5C"/>
          <w:sz w:val="26"/>
          <w:szCs w:val="26"/>
        </w:rPr>
        <w:t>ansparent Cost Structure</w:t>
      </w:r>
    </w:p>
    <w:p w:rsidR="00E340A2" w:rsidRDefault="00C9616C">
      <w:pPr>
        <w:spacing w:before="80" w:after="80"/>
      </w:pPr>
      <w:r>
        <w:rPr>
          <w:color w:val="555555"/>
        </w:rPr>
        <w:t>Property transfers in Thailand involve several government fees and taxes. We provide a clear cost breakdown upfront so you know exactly what to expect — with no hidden charges. Costs are calculated based on the property's appraised</w:t>
      </w:r>
      <w:r>
        <w:rPr>
          <w:color w:val="555555"/>
        </w:rPr>
        <w:t xml:space="preserve"> value and holding period.</w:t>
      </w:r>
    </w:p>
    <w:p w:rsidR="00E340A2" w:rsidRDefault="00C9616C">
      <w:pPr>
        <w:spacing w:before="60" w:after="160"/>
      </w:pPr>
      <w:r>
        <w:rPr>
          <w:color w:val="1A3A5C"/>
          <w:sz w:val="18"/>
          <w:szCs w:val="18"/>
        </w:rPr>
        <w:lastRenderedPageBreak/>
        <w:t>Transfer fee 2%   ·   Specific Business Tax (SBT)   ·   Stamp duty   ·   Withholding tax</w:t>
      </w:r>
    </w:p>
    <w:p w:rsidR="00E340A2" w:rsidRDefault="00E340A2">
      <w:pPr>
        <w:pBdr>
          <w:bottom w:val="single" w:sz="4" w:space="1" w:color="DDDDDD"/>
        </w:pBdr>
        <w:spacing w:before="200" w:after="200"/>
      </w:pPr>
    </w:p>
    <w:p w:rsidR="00E340A2" w:rsidRDefault="00C9616C">
      <w:pPr>
        <w:spacing w:before="60" w:after="40"/>
      </w:pPr>
      <w:r>
        <w:rPr>
          <w:b/>
          <w:bCs/>
          <w:color w:val="999999"/>
          <w:sz w:val="17"/>
          <w:szCs w:val="17"/>
        </w:rPr>
        <w:t>CRYPTO TRANSACTIONS</w:t>
      </w:r>
    </w:p>
    <w:p w:rsidR="00E340A2" w:rsidRDefault="00C9616C">
      <w:pPr>
        <w:spacing w:before="280" w:after="100"/>
      </w:pPr>
      <w:proofErr w:type="spellStart"/>
      <w:r>
        <w:rPr>
          <w:b/>
          <w:bCs/>
          <w:color w:val="1A3A5C"/>
          <w:sz w:val="26"/>
          <w:szCs w:val="26"/>
        </w:rPr>
        <w:t>Cryptocurrency</w:t>
      </w:r>
      <w:proofErr w:type="spellEnd"/>
      <w:r>
        <w:rPr>
          <w:b/>
          <w:bCs/>
          <w:color w:val="1A3A5C"/>
          <w:sz w:val="26"/>
          <w:szCs w:val="26"/>
        </w:rPr>
        <w:t>-Assisted Transactions</w:t>
      </w:r>
    </w:p>
    <w:p w:rsidR="00E340A2" w:rsidRDefault="00C9616C">
      <w:pPr>
        <w:spacing w:before="80" w:after="80"/>
      </w:pPr>
      <w:r>
        <w:rPr>
          <w:color w:val="555555"/>
        </w:rPr>
        <w:t xml:space="preserve">A.L.A.B Property supports clients who wish to use </w:t>
      </w:r>
      <w:proofErr w:type="spellStart"/>
      <w:r>
        <w:rPr>
          <w:color w:val="555555"/>
        </w:rPr>
        <w:t>cryptocurrency</w:t>
      </w:r>
      <w:proofErr w:type="spellEnd"/>
      <w:r>
        <w:rPr>
          <w:color w:val="555555"/>
        </w:rPr>
        <w:t xml:space="preserve"> as part of their </w:t>
      </w:r>
      <w:r>
        <w:rPr>
          <w:color w:val="555555"/>
        </w:rPr>
        <w:t>property purchase process. Our legal team ensures all transactions are structured in full compliance with Thai law — protecting both buyer and seller throughout the process.</w:t>
      </w:r>
    </w:p>
    <w:p w:rsidR="00E340A2" w:rsidRDefault="00C9616C">
      <w:pPr>
        <w:spacing w:before="60" w:after="160"/>
      </w:pPr>
      <w:r>
        <w:rPr>
          <w:color w:val="1A3A5C"/>
          <w:sz w:val="18"/>
          <w:szCs w:val="18"/>
        </w:rPr>
        <w:t>USDT   ·   BTC   ·   ETH   ·   TRC-20</w:t>
      </w:r>
    </w:p>
    <w:p w:rsidR="00E340A2" w:rsidRDefault="00E340A2">
      <w:pPr>
        <w:spacing w:before="160"/>
      </w:pPr>
    </w:p>
    <w:p w:rsidR="00E340A2" w:rsidRDefault="00E340A2">
      <w:pPr>
        <w:pageBreakBefore/>
      </w:pPr>
      <w:bookmarkStart w:id="0" w:name="_GoBack"/>
      <w:bookmarkEnd w:id="0"/>
    </w:p>
    <w:p w:rsidR="00E340A2" w:rsidRDefault="00C9616C">
      <w:pPr>
        <w:spacing w:after="60"/>
      </w:pPr>
      <w:proofErr w:type="gramStart"/>
      <w:r>
        <w:rPr>
          <w:color w:val="AAAAAA"/>
          <w:sz w:val="18"/>
          <w:szCs w:val="18"/>
        </w:rPr>
        <w:t>alabproperty.com/business</w:t>
      </w:r>
      <w:proofErr w:type="gramEnd"/>
    </w:p>
    <w:p w:rsidR="00E340A2" w:rsidRDefault="00C9616C">
      <w:pPr>
        <w:pBdr>
          <w:bottom w:val="single" w:sz="8" w:space="4" w:color="C5A24A"/>
        </w:pBdr>
        <w:spacing w:before="400" w:after="120"/>
      </w:pPr>
      <w:r>
        <w:rPr>
          <w:b/>
          <w:bCs/>
          <w:color w:val="1A3A5C"/>
          <w:sz w:val="36"/>
          <w:szCs w:val="36"/>
        </w:rPr>
        <w:t>Business &amp; Investment in Thailand</w:t>
      </w:r>
    </w:p>
    <w:p w:rsidR="00E340A2" w:rsidRDefault="00C9616C">
      <w:pPr>
        <w:spacing w:before="80" w:after="80"/>
      </w:pPr>
      <w:r>
        <w:rPr>
          <w:color w:val="555555"/>
        </w:rPr>
        <w:t>A.L.A.B Property supports international investors and business owners in Thailand — from company registration to asset structuring and investment protection.</w:t>
      </w:r>
    </w:p>
    <w:p w:rsidR="00E340A2" w:rsidRDefault="00E340A2">
      <w:pPr>
        <w:spacing w:before="16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340A2">
        <w:tblPrEx>
          <w:tblCellMar>
            <w:top w:w="0" w:type="dxa"/>
            <w:bottom w:w="0" w:type="dxa"/>
          </w:tblCellMar>
        </w:tblPrEx>
        <w:tc>
          <w:tcPr>
            <w:tcW w:w="9360" w:type="dxa"/>
            <w:tcBorders>
              <w:top w:val="single" w:sz="12" w:space="0" w:color="1A3A5C"/>
              <w:left w:val="none" w:sz="0" w:space="0" w:color="FFFFFF"/>
              <w:bottom w:val="none" w:sz="0" w:space="0" w:color="FFFFFF"/>
              <w:right w:val="none" w:sz="0" w:space="0" w:color="FFFFFF"/>
            </w:tcBorders>
            <w:shd w:val="clear" w:color="auto" w:fill="E8EEF4"/>
            <w:tcMar>
              <w:top w:w="160" w:type="dxa"/>
              <w:left w:w="200" w:type="dxa"/>
              <w:bottom w:w="160" w:type="dxa"/>
              <w:right w:w="200" w:type="dxa"/>
            </w:tcMar>
          </w:tcPr>
          <w:p w:rsidR="00E340A2" w:rsidRDefault="00C9616C">
            <w:pPr>
              <w:spacing w:after="60"/>
            </w:pPr>
            <w:r>
              <w:rPr>
                <w:b/>
                <w:bCs/>
                <w:color w:val="1A3A5C"/>
              </w:rPr>
              <w:t>Legal matters managed by A.L.A.B Consultant</w:t>
            </w:r>
          </w:p>
          <w:p w:rsidR="00E340A2" w:rsidRDefault="00C9616C">
            <w:r>
              <w:rPr>
                <w:color w:val="555555"/>
                <w:sz w:val="20"/>
                <w:szCs w:val="20"/>
              </w:rPr>
              <w:t>All business and legal services are handled by our af</w:t>
            </w:r>
            <w:r>
              <w:rPr>
                <w:color w:val="555555"/>
                <w:sz w:val="20"/>
                <w:szCs w:val="20"/>
              </w:rPr>
              <w:t>filiated law firm, A.L.A.B Consultant Co., Ltd. — a licensed practice with over 15 years of experience in Thai corporate and property law, serving clients in English and Thai. Website: alabconsultant.com</w:t>
            </w:r>
          </w:p>
        </w:tc>
      </w:tr>
    </w:tbl>
    <w:p w:rsidR="00E340A2" w:rsidRDefault="00E340A2">
      <w:pPr>
        <w:pBdr>
          <w:bottom w:val="single" w:sz="4" w:space="1" w:color="DDDDDD"/>
        </w:pBdr>
        <w:spacing w:before="200" w:after="200"/>
      </w:pPr>
    </w:p>
    <w:p w:rsidR="00E340A2" w:rsidRDefault="00C9616C">
      <w:pPr>
        <w:spacing w:before="320" w:after="80"/>
      </w:pPr>
      <w:r>
        <w:rPr>
          <w:b/>
          <w:bCs/>
          <w:color w:val="1A3A5C"/>
          <w:sz w:val="32"/>
          <w:szCs w:val="32"/>
        </w:rPr>
        <w:t>01   How We Help</w:t>
      </w:r>
    </w:p>
    <w:p w:rsidR="00E340A2" w:rsidRDefault="00C9616C">
      <w:pPr>
        <w:spacing w:before="80" w:after="80"/>
      </w:pPr>
      <w:r>
        <w:rPr>
          <w:color w:val="555555"/>
        </w:rPr>
        <w:t>Whether you are looking to purchase property as an individual, set up a business entity, or structure a larger investment portfolio in Thailand, A.L.A.B Property provides end-to-end support. We connect you with the right legal, financial, and real estate e</w:t>
      </w:r>
      <w:r>
        <w:rPr>
          <w:color w:val="555555"/>
        </w:rPr>
        <w:t>xpertise — all under one roof.</w:t>
      </w:r>
    </w:p>
    <w:p w:rsidR="00E340A2" w:rsidRDefault="00C9616C">
      <w:pPr>
        <w:spacing w:before="80" w:after="80"/>
      </w:pPr>
      <w:r>
        <w:rPr>
          <w:color w:val="555555"/>
        </w:rPr>
        <w:t>Our team is experienced in working with foreign nationals, expats, and institutional investors who want to operate in Thailand confidently and in full compliance with Thai law.</w:t>
      </w:r>
    </w:p>
    <w:p w:rsidR="00E340A2" w:rsidRDefault="00C9616C">
      <w:pPr>
        <w:spacing w:before="60" w:after="160"/>
      </w:pPr>
      <w:r>
        <w:rPr>
          <w:color w:val="1A3A5C"/>
          <w:sz w:val="18"/>
          <w:szCs w:val="18"/>
        </w:rPr>
        <w:t xml:space="preserve">Foreign investors   ·   Individual buyers   ·   </w:t>
      </w:r>
      <w:r>
        <w:rPr>
          <w:color w:val="1A3A5C"/>
          <w:sz w:val="18"/>
          <w:szCs w:val="18"/>
        </w:rPr>
        <w:t>Corporate clients   ·   Expats</w:t>
      </w:r>
    </w:p>
    <w:p w:rsidR="00E340A2" w:rsidRDefault="00E340A2">
      <w:pPr>
        <w:pBdr>
          <w:bottom w:val="single" w:sz="4" w:space="1" w:color="DDDDDD"/>
        </w:pBdr>
        <w:spacing w:before="200" w:after="200"/>
      </w:pPr>
    </w:p>
    <w:p w:rsidR="00E340A2" w:rsidRDefault="00C9616C">
      <w:pPr>
        <w:spacing w:before="320" w:after="80"/>
      </w:pPr>
      <w:r>
        <w:rPr>
          <w:b/>
          <w:bCs/>
          <w:color w:val="1A3A5C"/>
          <w:sz w:val="32"/>
          <w:szCs w:val="32"/>
        </w:rPr>
        <w:t>02   Business Registration in Thailand</w:t>
      </w:r>
    </w:p>
    <w:p w:rsidR="00E340A2" w:rsidRDefault="00C9616C">
      <w:pPr>
        <w:spacing w:before="80" w:after="80"/>
      </w:pPr>
      <w:r>
        <w:rPr>
          <w:color w:val="555555"/>
        </w:rPr>
        <w:t xml:space="preserve">Setting up a company in Thailand involves several legal steps. Our affiliated legal team at A.L.A.B Consultant handles the entire registration process — so your business is established </w:t>
      </w:r>
      <w:r>
        <w:rPr>
          <w:color w:val="555555"/>
        </w:rPr>
        <w:t>correctly from day one.</w:t>
      </w:r>
    </w:p>
    <w:p w:rsidR="00E340A2" w:rsidRDefault="00E340A2">
      <w:pPr>
        <w:spacing w:before="160"/>
      </w:pPr>
    </w:p>
    <w:p w:rsidR="00E340A2" w:rsidRDefault="00C9616C">
      <w:pPr>
        <w:pStyle w:val="ListParagraph"/>
        <w:numPr>
          <w:ilvl w:val="0"/>
          <w:numId w:val="2"/>
        </w:numPr>
        <w:spacing w:before="60" w:after="60"/>
      </w:pPr>
      <w:r>
        <w:rPr>
          <w:color w:val="555555"/>
          <w:sz w:val="21"/>
          <w:szCs w:val="21"/>
        </w:rPr>
        <w:t>Business structure consultation — limited company, partnership, or BOI-promoted entity</w:t>
      </w:r>
    </w:p>
    <w:p w:rsidR="00E340A2" w:rsidRDefault="00C9616C">
      <w:pPr>
        <w:pStyle w:val="ListParagraph"/>
        <w:numPr>
          <w:ilvl w:val="0"/>
          <w:numId w:val="2"/>
        </w:numPr>
        <w:spacing w:before="60" w:after="60"/>
      </w:pPr>
      <w:r>
        <w:rPr>
          <w:color w:val="555555"/>
          <w:sz w:val="21"/>
          <w:szCs w:val="21"/>
        </w:rPr>
        <w:t>Company name check and reservation with the Department of Business Development</w:t>
      </w:r>
    </w:p>
    <w:p w:rsidR="00E340A2" w:rsidRDefault="00C9616C">
      <w:pPr>
        <w:pStyle w:val="ListParagraph"/>
        <w:numPr>
          <w:ilvl w:val="0"/>
          <w:numId w:val="2"/>
        </w:numPr>
        <w:spacing w:before="60" w:after="60"/>
      </w:pPr>
      <w:r>
        <w:rPr>
          <w:color w:val="555555"/>
          <w:sz w:val="21"/>
          <w:szCs w:val="21"/>
        </w:rPr>
        <w:t>Preparation of articles of association and shareholder documents</w:t>
      </w:r>
    </w:p>
    <w:p w:rsidR="00E340A2" w:rsidRDefault="00C9616C">
      <w:pPr>
        <w:pStyle w:val="ListParagraph"/>
        <w:numPr>
          <w:ilvl w:val="0"/>
          <w:numId w:val="2"/>
        </w:numPr>
        <w:spacing w:before="60" w:after="60"/>
      </w:pPr>
      <w:r>
        <w:rPr>
          <w:color w:val="555555"/>
          <w:sz w:val="21"/>
          <w:szCs w:val="21"/>
        </w:rPr>
        <w:t>Registration submission and approval monitoring</w:t>
      </w:r>
    </w:p>
    <w:p w:rsidR="00E340A2" w:rsidRDefault="00C9616C">
      <w:pPr>
        <w:pStyle w:val="ListParagraph"/>
        <w:numPr>
          <w:ilvl w:val="0"/>
          <w:numId w:val="2"/>
        </w:numPr>
        <w:spacing w:before="60" w:after="60"/>
      </w:pPr>
      <w:r>
        <w:rPr>
          <w:color w:val="555555"/>
          <w:sz w:val="21"/>
          <w:szCs w:val="21"/>
        </w:rPr>
        <w:t>Tax identification number application at the Revenue Department</w:t>
      </w:r>
    </w:p>
    <w:p w:rsidR="00E340A2" w:rsidRDefault="00C9616C">
      <w:pPr>
        <w:pStyle w:val="ListParagraph"/>
        <w:numPr>
          <w:ilvl w:val="0"/>
          <w:numId w:val="2"/>
        </w:numPr>
        <w:spacing w:before="60" w:after="60"/>
      </w:pPr>
      <w:r>
        <w:rPr>
          <w:color w:val="555555"/>
          <w:sz w:val="21"/>
          <w:szCs w:val="21"/>
        </w:rPr>
        <w:t>Post-registration bookkeeping and financial reporting support</w:t>
      </w:r>
    </w:p>
    <w:p w:rsidR="00E340A2" w:rsidRDefault="00E340A2">
      <w:pPr>
        <w:pBdr>
          <w:bottom w:val="single" w:sz="4" w:space="1" w:color="DDDDDD"/>
        </w:pBdr>
        <w:spacing w:before="200" w:after="200"/>
      </w:pPr>
    </w:p>
    <w:p w:rsidR="00E340A2" w:rsidRDefault="00C9616C">
      <w:pPr>
        <w:spacing w:before="320" w:after="80"/>
      </w:pPr>
      <w:r>
        <w:rPr>
          <w:b/>
          <w:bCs/>
          <w:color w:val="1A3A5C"/>
          <w:sz w:val="32"/>
          <w:szCs w:val="32"/>
        </w:rPr>
        <w:t>03   What You Need to Legalize Your Business</w:t>
      </w:r>
    </w:p>
    <w:p w:rsidR="00E340A2" w:rsidRDefault="00C9616C">
      <w:pPr>
        <w:spacing w:before="80" w:after="80"/>
      </w:pPr>
      <w:r>
        <w:rPr>
          <w:color w:val="555555"/>
        </w:rPr>
        <w:t>Operating a business legally in Thai</w:t>
      </w:r>
      <w:r>
        <w:rPr>
          <w:color w:val="555555"/>
        </w:rPr>
        <w:t>land requires more than just registration. Depending on the nature of your business and your nationality, you may need additional permits and documentation. We assess your situation and guide you through every requirement.</w:t>
      </w:r>
    </w:p>
    <w:p w:rsidR="00E340A2" w:rsidRDefault="00E340A2">
      <w:pPr>
        <w:spacing w:before="1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340A2">
        <w:tblPrEx>
          <w:tblCellMar>
            <w:top w:w="0" w:type="dxa"/>
            <w:bottom w:w="0" w:type="dxa"/>
          </w:tblCellMar>
        </w:tblPrEx>
        <w:tc>
          <w:tcPr>
            <w:tcW w:w="4560" w:type="dxa"/>
            <w:tcBorders>
              <w:top w:val="single" w:sz="4" w:space="0" w:color="DDDDDD"/>
              <w:left w:val="single" w:sz="4" w:space="0" w:color="DDDDDD"/>
              <w:bottom w:val="single" w:sz="4" w:space="0" w:color="DDDDDD"/>
              <w:right w:val="single" w:sz="4" w:space="0" w:color="DDDDDD"/>
            </w:tcBorders>
            <w:shd w:val="clear" w:color="auto" w:fill="F5F5F5"/>
            <w:tcMar>
              <w:top w:w="120" w:type="dxa"/>
              <w:left w:w="160" w:type="dxa"/>
              <w:bottom w:w="120" w:type="dxa"/>
              <w:right w:w="160" w:type="dxa"/>
            </w:tcMar>
          </w:tcPr>
          <w:p w:rsidR="00E340A2" w:rsidRDefault="00C9616C">
            <w:pPr>
              <w:spacing w:after="40"/>
            </w:pPr>
            <w:r>
              <w:rPr>
                <w:b/>
                <w:bCs/>
                <w:color w:val="1A3A5C"/>
                <w:sz w:val="21"/>
                <w:szCs w:val="21"/>
              </w:rPr>
              <w:lastRenderedPageBreak/>
              <w:t>Non-B Business Visa</w:t>
            </w:r>
          </w:p>
          <w:p w:rsidR="00E340A2" w:rsidRDefault="00C9616C">
            <w:r>
              <w:rPr>
                <w:color w:val="555555"/>
                <w:sz w:val="19"/>
                <w:szCs w:val="19"/>
              </w:rPr>
              <w:t>Required for</w:t>
            </w:r>
            <w:r>
              <w:rPr>
                <w:color w:val="555555"/>
                <w:sz w:val="19"/>
                <w:szCs w:val="19"/>
              </w:rPr>
              <w:t xml:space="preserve"> foreign nationals conducting business activities in Thailand. We prepare and submit all supporting documents on your behalf.</w:t>
            </w:r>
          </w:p>
        </w:tc>
        <w:tc>
          <w:tcPr>
            <w:tcW w:w="4560" w:type="dxa"/>
            <w:tcBorders>
              <w:top w:val="single" w:sz="4" w:space="0" w:color="DDDDDD"/>
              <w:left w:val="single" w:sz="4" w:space="0" w:color="DDDDDD"/>
              <w:bottom w:val="single" w:sz="4" w:space="0" w:color="DDDDDD"/>
              <w:right w:val="single" w:sz="4" w:space="0" w:color="DDDDDD"/>
            </w:tcBorders>
            <w:shd w:val="clear" w:color="auto" w:fill="F5F5F5"/>
            <w:tcMar>
              <w:top w:w="120" w:type="dxa"/>
              <w:left w:w="160" w:type="dxa"/>
              <w:bottom w:w="120" w:type="dxa"/>
              <w:right w:w="160" w:type="dxa"/>
            </w:tcMar>
          </w:tcPr>
          <w:p w:rsidR="00E340A2" w:rsidRDefault="00C9616C">
            <w:pPr>
              <w:spacing w:after="40"/>
            </w:pPr>
            <w:r>
              <w:rPr>
                <w:b/>
                <w:bCs/>
                <w:color w:val="1A3A5C"/>
                <w:sz w:val="21"/>
                <w:szCs w:val="21"/>
              </w:rPr>
              <w:t>Business Licenses</w:t>
            </w:r>
          </w:p>
          <w:p w:rsidR="00E340A2" w:rsidRDefault="00C9616C">
            <w:r>
              <w:rPr>
                <w:color w:val="555555"/>
                <w:sz w:val="19"/>
                <w:szCs w:val="19"/>
              </w:rPr>
              <w:t>Certain business types require additional licenses — such as real estate, hospitality, or food service. We identify and obtain the right permits for your industry.</w:t>
            </w:r>
          </w:p>
        </w:tc>
      </w:tr>
      <w:tr w:rsidR="00E340A2">
        <w:tblPrEx>
          <w:tblCellMar>
            <w:top w:w="0" w:type="dxa"/>
            <w:bottom w:w="0" w:type="dxa"/>
          </w:tblCellMar>
        </w:tblPrEx>
        <w:tc>
          <w:tcPr>
            <w:tcW w:w="4560" w:type="dxa"/>
            <w:tcBorders>
              <w:top w:val="single" w:sz="4" w:space="0" w:color="DDDDDD"/>
              <w:left w:val="single" w:sz="4" w:space="0" w:color="DDDDDD"/>
              <w:bottom w:val="single" w:sz="4" w:space="0" w:color="DDDDDD"/>
              <w:right w:val="single" w:sz="4" w:space="0" w:color="DDDDDD"/>
            </w:tcBorders>
            <w:shd w:val="clear" w:color="auto" w:fill="F5F5F5"/>
            <w:tcMar>
              <w:top w:w="120" w:type="dxa"/>
              <w:left w:w="160" w:type="dxa"/>
              <w:bottom w:w="120" w:type="dxa"/>
              <w:right w:w="160" w:type="dxa"/>
            </w:tcMar>
          </w:tcPr>
          <w:p w:rsidR="00E340A2" w:rsidRDefault="00C9616C">
            <w:pPr>
              <w:spacing w:after="40"/>
            </w:pPr>
            <w:r>
              <w:rPr>
                <w:b/>
                <w:bCs/>
                <w:color w:val="1A3A5C"/>
                <w:sz w:val="21"/>
                <w:szCs w:val="21"/>
              </w:rPr>
              <w:t>Work Permit</w:t>
            </w:r>
          </w:p>
          <w:p w:rsidR="00E340A2" w:rsidRDefault="00C9616C">
            <w:r>
              <w:rPr>
                <w:color w:val="555555"/>
                <w:sz w:val="19"/>
                <w:szCs w:val="19"/>
              </w:rPr>
              <w:t>A work permit is required separately from a visa. We manage the full application with the Department of Employment.</w:t>
            </w:r>
          </w:p>
        </w:tc>
        <w:tc>
          <w:tcPr>
            <w:tcW w:w="4560" w:type="dxa"/>
            <w:tcBorders>
              <w:top w:val="single" w:sz="4" w:space="0" w:color="DDDDDD"/>
              <w:left w:val="single" w:sz="4" w:space="0" w:color="DDDDDD"/>
              <w:bottom w:val="single" w:sz="4" w:space="0" w:color="DDDDDD"/>
              <w:right w:val="single" w:sz="4" w:space="0" w:color="DDDDDD"/>
            </w:tcBorders>
            <w:shd w:val="clear" w:color="auto" w:fill="F5F5F5"/>
            <w:tcMar>
              <w:top w:w="120" w:type="dxa"/>
              <w:left w:w="160" w:type="dxa"/>
              <w:bottom w:w="120" w:type="dxa"/>
              <w:right w:w="160" w:type="dxa"/>
            </w:tcMar>
          </w:tcPr>
          <w:p w:rsidR="00E340A2" w:rsidRDefault="00C9616C">
            <w:pPr>
              <w:spacing w:after="40"/>
            </w:pPr>
            <w:r>
              <w:rPr>
                <w:b/>
                <w:bCs/>
                <w:color w:val="1A3A5C"/>
                <w:sz w:val="21"/>
                <w:szCs w:val="21"/>
              </w:rPr>
              <w:t>Annual Renewals</w:t>
            </w:r>
          </w:p>
          <w:p w:rsidR="00E340A2" w:rsidRDefault="00C9616C">
            <w:r>
              <w:rPr>
                <w:color w:val="555555"/>
                <w:sz w:val="19"/>
                <w:szCs w:val="19"/>
              </w:rPr>
              <w:t>Visas, work permits, and some business licenses require annual renewal. We handle all renewals and compliance checks on your</w:t>
            </w:r>
            <w:r>
              <w:rPr>
                <w:color w:val="555555"/>
                <w:sz w:val="19"/>
                <w:szCs w:val="19"/>
              </w:rPr>
              <w:t xml:space="preserve"> schedule.</w:t>
            </w:r>
          </w:p>
        </w:tc>
      </w:tr>
    </w:tbl>
    <w:p w:rsidR="00E340A2" w:rsidRDefault="00E340A2">
      <w:pPr>
        <w:pBdr>
          <w:bottom w:val="single" w:sz="4" w:space="1" w:color="DDDDDD"/>
        </w:pBdr>
        <w:spacing w:before="200" w:after="200"/>
      </w:pPr>
    </w:p>
    <w:p w:rsidR="00E340A2" w:rsidRDefault="00C9616C">
      <w:pPr>
        <w:spacing w:before="320" w:after="80"/>
      </w:pPr>
      <w:r>
        <w:rPr>
          <w:b/>
          <w:bCs/>
          <w:color w:val="1A3A5C"/>
          <w:sz w:val="32"/>
          <w:szCs w:val="32"/>
        </w:rPr>
        <w:t>04   Investment Structuring</w:t>
      </w:r>
    </w:p>
    <w:p w:rsidR="00E340A2" w:rsidRDefault="00C9616C">
      <w:pPr>
        <w:spacing w:before="80" w:after="80"/>
      </w:pPr>
      <w:r>
        <w:rPr>
          <w:color w:val="555555"/>
        </w:rPr>
        <w:t>Structuring your investment correctly from the start can significantly impact your returns, tax obligations, and legal exposure. We work with you to identify the most appropriate ownership structure for your goals —</w:t>
      </w:r>
      <w:r>
        <w:rPr>
          <w:color w:val="555555"/>
        </w:rPr>
        <w:t xml:space="preserve"> whether as an individual, through a Thai company, or via a BOI-promoted vehicle.</w:t>
      </w:r>
    </w:p>
    <w:p w:rsidR="00E340A2" w:rsidRDefault="00C9616C">
      <w:pPr>
        <w:spacing w:before="80" w:after="80"/>
      </w:pPr>
      <w:r>
        <w:rPr>
          <w:color w:val="555555"/>
        </w:rPr>
        <w:t>Our legal team advises on freehold vs. leasehold structures, shareholding arrangements, and cross-border asset planning to ensure your investment is both legally sound and fi</w:t>
      </w:r>
      <w:r>
        <w:rPr>
          <w:color w:val="555555"/>
        </w:rPr>
        <w:t>nancially optimized.</w:t>
      </w:r>
    </w:p>
    <w:p w:rsidR="00E340A2" w:rsidRDefault="00C9616C">
      <w:pPr>
        <w:spacing w:before="60" w:after="160"/>
      </w:pPr>
      <w:r>
        <w:rPr>
          <w:color w:val="1A3A5C"/>
          <w:sz w:val="18"/>
          <w:szCs w:val="18"/>
        </w:rPr>
        <w:t>Thai limited company   ·   BOI promotion   ·   Freehold &amp; leasehold   ·   Shareholding structure   ·   Cross-border planning</w:t>
      </w:r>
    </w:p>
    <w:p w:rsidR="00E340A2" w:rsidRDefault="00E340A2">
      <w:pPr>
        <w:pBdr>
          <w:bottom w:val="single" w:sz="4" w:space="1" w:color="DDDDDD"/>
        </w:pBdr>
        <w:spacing w:before="200" w:after="200"/>
      </w:pPr>
    </w:p>
    <w:p w:rsidR="00E340A2" w:rsidRDefault="00C9616C">
      <w:pPr>
        <w:spacing w:before="320" w:after="80"/>
      </w:pPr>
      <w:r>
        <w:rPr>
          <w:b/>
          <w:bCs/>
          <w:color w:val="1A3A5C"/>
          <w:sz w:val="32"/>
          <w:szCs w:val="32"/>
        </w:rPr>
        <w:t>05   Asset Protection</w:t>
      </w:r>
    </w:p>
    <w:p w:rsidR="00E340A2" w:rsidRDefault="00C9616C">
      <w:pPr>
        <w:spacing w:before="80" w:after="80"/>
      </w:pPr>
      <w:r>
        <w:rPr>
          <w:color w:val="555555"/>
        </w:rPr>
        <w:t>Once your investment is in place, protecting it is equally important. We provide ongoing legal support to safeguard your assets against disputes, unauthorized claims, and regulatory changes.</w:t>
      </w:r>
    </w:p>
    <w:p w:rsidR="00E340A2" w:rsidRDefault="00E340A2">
      <w:pPr>
        <w:spacing w:before="1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340A2">
        <w:tblPrEx>
          <w:tblCellMar>
            <w:top w:w="0" w:type="dxa"/>
            <w:bottom w:w="0" w:type="dxa"/>
          </w:tblCellMar>
        </w:tblPrEx>
        <w:tc>
          <w:tcPr>
            <w:tcW w:w="4560" w:type="dxa"/>
            <w:tcBorders>
              <w:top w:val="single" w:sz="4" w:space="0" w:color="DDDDDD"/>
              <w:left w:val="single" w:sz="4" w:space="0" w:color="DDDDDD"/>
              <w:bottom w:val="single" w:sz="4" w:space="0" w:color="DDDDDD"/>
              <w:right w:val="single" w:sz="4" w:space="0" w:color="DDDDDD"/>
            </w:tcBorders>
            <w:shd w:val="clear" w:color="auto" w:fill="F5F5F5"/>
            <w:tcMar>
              <w:top w:w="120" w:type="dxa"/>
              <w:left w:w="160" w:type="dxa"/>
              <w:bottom w:w="120" w:type="dxa"/>
              <w:right w:w="160" w:type="dxa"/>
            </w:tcMar>
          </w:tcPr>
          <w:p w:rsidR="00E340A2" w:rsidRDefault="00C9616C">
            <w:pPr>
              <w:spacing w:after="40"/>
            </w:pPr>
            <w:r>
              <w:rPr>
                <w:b/>
                <w:bCs/>
                <w:color w:val="1A3A5C"/>
                <w:sz w:val="21"/>
                <w:szCs w:val="21"/>
              </w:rPr>
              <w:t>Trademark &amp; Patent</w:t>
            </w:r>
          </w:p>
          <w:p w:rsidR="00E340A2" w:rsidRDefault="00C9616C">
            <w:r>
              <w:rPr>
                <w:color w:val="555555"/>
                <w:sz w:val="19"/>
                <w:szCs w:val="19"/>
              </w:rPr>
              <w:t xml:space="preserve">Register your brand name, logo, or invention </w:t>
            </w:r>
            <w:r>
              <w:rPr>
                <w:color w:val="555555"/>
                <w:sz w:val="19"/>
                <w:szCs w:val="19"/>
              </w:rPr>
              <w:t>with the Department of Intellectual Property to prevent unauthorized use.</w:t>
            </w:r>
          </w:p>
        </w:tc>
        <w:tc>
          <w:tcPr>
            <w:tcW w:w="4560" w:type="dxa"/>
            <w:tcBorders>
              <w:top w:val="single" w:sz="4" w:space="0" w:color="DDDDDD"/>
              <w:left w:val="single" w:sz="4" w:space="0" w:color="DDDDDD"/>
              <w:bottom w:val="single" w:sz="4" w:space="0" w:color="DDDDDD"/>
              <w:right w:val="single" w:sz="4" w:space="0" w:color="DDDDDD"/>
            </w:tcBorders>
            <w:shd w:val="clear" w:color="auto" w:fill="F5F5F5"/>
            <w:tcMar>
              <w:top w:w="120" w:type="dxa"/>
              <w:left w:w="160" w:type="dxa"/>
              <w:bottom w:w="120" w:type="dxa"/>
              <w:right w:w="160" w:type="dxa"/>
            </w:tcMar>
          </w:tcPr>
          <w:p w:rsidR="00E340A2" w:rsidRDefault="00C9616C">
            <w:pPr>
              <w:spacing w:after="40"/>
            </w:pPr>
            <w:r>
              <w:rPr>
                <w:b/>
                <w:bCs/>
                <w:color w:val="1A3A5C"/>
                <w:sz w:val="21"/>
                <w:szCs w:val="21"/>
              </w:rPr>
              <w:t>Legal Disputes</w:t>
            </w:r>
          </w:p>
          <w:p w:rsidR="00E340A2" w:rsidRDefault="00C9616C">
            <w:r>
              <w:rPr>
                <w:color w:val="555555"/>
                <w:sz w:val="19"/>
                <w:szCs w:val="19"/>
              </w:rPr>
              <w:t>If a dispute arises over your assets or business, our affiliated lawyers provide full representation in civil and commercial court proceedings.</w:t>
            </w:r>
          </w:p>
        </w:tc>
      </w:tr>
      <w:tr w:rsidR="00E340A2">
        <w:tblPrEx>
          <w:tblCellMar>
            <w:top w:w="0" w:type="dxa"/>
            <w:bottom w:w="0" w:type="dxa"/>
          </w:tblCellMar>
        </w:tblPrEx>
        <w:tc>
          <w:tcPr>
            <w:tcW w:w="4560" w:type="dxa"/>
            <w:tcBorders>
              <w:top w:val="single" w:sz="4" w:space="0" w:color="DDDDDD"/>
              <w:left w:val="single" w:sz="4" w:space="0" w:color="DDDDDD"/>
              <w:bottom w:val="single" w:sz="4" w:space="0" w:color="DDDDDD"/>
              <w:right w:val="single" w:sz="4" w:space="0" w:color="DDDDDD"/>
            </w:tcBorders>
            <w:shd w:val="clear" w:color="auto" w:fill="F5F5F5"/>
            <w:tcMar>
              <w:top w:w="120" w:type="dxa"/>
              <w:left w:w="160" w:type="dxa"/>
              <w:bottom w:w="120" w:type="dxa"/>
              <w:right w:w="160" w:type="dxa"/>
            </w:tcMar>
          </w:tcPr>
          <w:p w:rsidR="00E340A2" w:rsidRDefault="00C9616C">
            <w:pPr>
              <w:spacing w:after="40"/>
            </w:pPr>
            <w:r>
              <w:rPr>
                <w:b/>
                <w:bCs/>
                <w:color w:val="1A3A5C"/>
                <w:sz w:val="21"/>
                <w:szCs w:val="21"/>
              </w:rPr>
              <w:t>Will &amp; Testament</w:t>
            </w:r>
          </w:p>
          <w:p w:rsidR="00E340A2" w:rsidRDefault="00C9616C">
            <w:r>
              <w:rPr>
                <w:color w:val="555555"/>
                <w:sz w:val="19"/>
                <w:szCs w:val="19"/>
              </w:rPr>
              <w:t>Ensur</w:t>
            </w:r>
            <w:r>
              <w:rPr>
                <w:color w:val="555555"/>
                <w:sz w:val="19"/>
                <w:szCs w:val="19"/>
              </w:rPr>
              <w:t>e your assets in Thailand are distributed according to your wishes with a legally valid will prepared under Thai law.</w:t>
            </w:r>
          </w:p>
        </w:tc>
        <w:tc>
          <w:tcPr>
            <w:tcW w:w="4560" w:type="dxa"/>
            <w:tcBorders>
              <w:top w:val="single" w:sz="4" w:space="0" w:color="DDDDDD"/>
              <w:left w:val="single" w:sz="4" w:space="0" w:color="DDDDDD"/>
              <w:bottom w:val="single" w:sz="4" w:space="0" w:color="DDDDDD"/>
              <w:right w:val="single" w:sz="4" w:space="0" w:color="DDDDDD"/>
            </w:tcBorders>
            <w:shd w:val="clear" w:color="auto" w:fill="F5F5F5"/>
            <w:tcMar>
              <w:top w:w="120" w:type="dxa"/>
              <w:left w:w="160" w:type="dxa"/>
              <w:bottom w:w="120" w:type="dxa"/>
              <w:right w:w="160" w:type="dxa"/>
            </w:tcMar>
          </w:tcPr>
          <w:p w:rsidR="00E340A2" w:rsidRDefault="00C9616C">
            <w:pPr>
              <w:spacing w:after="40"/>
            </w:pPr>
            <w:r>
              <w:rPr>
                <w:b/>
                <w:bCs/>
                <w:color w:val="1A3A5C"/>
                <w:sz w:val="21"/>
                <w:szCs w:val="21"/>
              </w:rPr>
              <w:t>Notarization</w:t>
            </w:r>
          </w:p>
          <w:p w:rsidR="00E340A2" w:rsidRDefault="00C9616C">
            <w:r>
              <w:rPr>
                <w:color w:val="555555"/>
                <w:sz w:val="19"/>
                <w:szCs w:val="19"/>
              </w:rPr>
              <w:t>Certify and notarize legal documents including powers of attorney and affidavits required for business and property transacti</w:t>
            </w:r>
            <w:r>
              <w:rPr>
                <w:color w:val="555555"/>
                <w:sz w:val="19"/>
                <w:szCs w:val="19"/>
              </w:rPr>
              <w:t>ons.</w:t>
            </w:r>
          </w:p>
        </w:tc>
      </w:tr>
    </w:tbl>
    <w:p w:rsidR="00E340A2" w:rsidRDefault="00E340A2">
      <w:pPr>
        <w:spacing w:before="160"/>
      </w:pPr>
    </w:p>
    <w:p w:rsidR="00C9616C" w:rsidRDefault="00C9616C"/>
    <w:sectPr w:rsidR="00C9616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61872FA"/>
    <w:multiLevelType w:val="hybridMultilevel"/>
    <w:tmpl w:val="4434FE60"/>
    <w:lvl w:ilvl="0" w:tplc="2D4AF89C">
      <w:start w:val="1"/>
      <w:numFmt w:val="bullet"/>
      <w:lvlText w:val="●"/>
      <w:lvlJc w:val="left"/>
      <w:pPr>
        <w:ind w:left="720" w:hanging="360"/>
      </w:pPr>
    </w:lvl>
    <w:lvl w:ilvl="1" w:tplc="220CA0FC">
      <w:start w:val="1"/>
      <w:numFmt w:val="bullet"/>
      <w:lvlText w:val="○"/>
      <w:lvlJc w:val="left"/>
      <w:pPr>
        <w:ind w:left="1440" w:hanging="360"/>
      </w:pPr>
    </w:lvl>
    <w:lvl w:ilvl="2" w:tplc="4A724550">
      <w:start w:val="1"/>
      <w:numFmt w:val="bullet"/>
      <w:lvlText w:val="■"/>
      <w:lvlJc w:val="left"/>
      <w:pPr>
        <w:ind w:left="2160" w:hanging="360"/>
      </w:pPr>
    </w:lvl>
    <w:lvl w:ilvl="3" w:tplc="74EE6EBE">
      <w:start w:val="1"/>
      <w:numFmt w:val="bullet"/>
      <w:lvlText w:val="●"/>
      <w:lvlJc w:val="left"/>
      <w:pPr>
        <w:ind w:left="2880" w:hanging="360"/>
      </w:pPr>
    </w:lvl>
    <w:lvl w:ilvl="4" w:tplc="C69CC688">
      <w:start w:val="1"/>
      <w:numFmt w:val="bullet"/>
      <w:lvlText w:val="○"/>
      <w:lvlJc w:val="left"/>
      <w:pPr>
        <w:ind w:left="3600" w:hanging="360"/>
      </w:pPr>
    </w:lvl>
    <w:lvl w:ilvl="5" w:tplc="DD28FF2A">
      <w:start w:val="1"/>
      <w:numFmt w:val="bullet"/>
      <w:lvlText w:val="■"/>
      <w:lvlJc w:val="left"/>
      <w:pPr>
        <w:ind w:left="4320" w:hanging="360"/>
      </w:pPr>
    </w:lvl>
    <w:lvl w:ilvl="6" w:tplc="7B3C3B9E">
      <w:start w:val="1"/>
      <w:numFmt w:val="bullet"/>
      <w:lvlText w:val="●"/>
      <w:lvlJc w:val="left"/>
      <w:pPr>
        <w:ind w:left="5040" w:hanging="360"/>
      </w:pPr>
    </w:lvl>
    <w:lvl w:ilvl="7" w:tplc="7CA65CDA">
      <w:start w:val="1"/>
      <w:numFmt w:val="bullet"/>
      <w:lvlText w:val="●"/>
      <w:lvlJc w:val="left"/>
      <w:pPr>
        <w:ind w:left="5760" w:hanging="360"/>
      </w:pPr>
    </w:lvl>
    <w:lvl w:ilvl="8" w:tplc="81561E54">
      <w:start w:val="1"/>
      <w:numFmt w:val="bullet"/>
      <w:lvlText w:val="●"/>
      <w:lvlJc w:val="left"/>
      <w:pPr>
        <w:ind w:left="6480" w:hanging="360"/>
      </w:pPr>
    </w:lvl>
  </w:abstractNum>
  <w:abstractNum w:abstractNumId="1">
    <w:nsid w:val="75714C6D"/>
    <w:multiLevelType w:val="hybridMultilevel"/>
    <w:tmpl w:val="4D82C6A0"/>
    <w:lvl w:ilvl="0" w:tplc="8996EA04">
      <w:start w:val="1"/>
      <w:numFmt w:val="decimal"/>
      <w:lvlText w:val="%1."/>
      <w:lvlJc w:val="left"/>
      <w:pPr>
        <w:ind w:left="600" w:hanging="360"/>
      </w:pPr>
      <w:rPr>
        <w:rFonts w:ascii="Arial" w:eastAsia="Arial" w:hAnsi="Arial" w:cs="Arial"/>
        <w:b/>
        <w:bCs/>
        <w:color w:val="1A3A5C"/>
        <w:sz w:val="21"/>
        <w:szCs w:val="21"/>
      </w:rPr>
    </w:lvl>
    <w:lvl w:ilvl="1" w:tplc="3A5C65C0">
      <w:numFmt w:val="decimal"/>
      <w:lvlText w:val=""/>
      <w:lvlJc w:val="left"/>
    </w:lvl>
    <w:lvl w:ilvl="2" w:tplc="0C127F5A">
      <w:numFmt w:val="decimal"/>
      <w:lvlText w:val=""/>
      <w:lvlJc w:val="left"/>
    </w:lvl>
    <w:lvl w:ilvl="3" w:tplc="0E46EEEE">
      <w:numFmt w:val="decimal"/>
      <w:lvlText w:val=""/>
      <w:lvlJc w:val="left"/>
    </w:lvl>
    <w:lvl w:ilvl="4" w:tplc="B0CE5120">
      <w:numFmt w:val="decimal"/>
      <w:lvlText w:val=""/>
      <w:lvlJc w:val="left"/>
    </w:lvl>
    <w:lvl w:ilvl="5" w:tplc="D29C2A64">
      <w:numFmt w:val="decimal"/>
      <w:lvlText w:val=""/>
      <w:lvlJc w:val="left"/>
    </w:lvl>
    <w:lvl w:ilvl="6" w:tplc="8632CE60">
      <w:numFmt w:val="decimal"/>
      <w:lvlText w:val=""/>
      <w:lvlJc w:val="left"/>
    </w:lvl>
    <w:lvl w:ilvl="7" w:tplc="C69E369E">
      <w:numFmt w:val="decimal"/>
      <w:lvlText w:val=""/>
      <w:lvlJc w:val="left"/>
    </w:lvl>
    <w:lvl w:ilvl="8" w:tplc="BADAE78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40A2"/>
    <w:rsid w:val="009D676B"/>
    <w:rsid w:val="00C9616C"/>
    <w:rsid w:val="00E340A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9162139-BC31-43E3-A597-F35082DB7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th-TH"/>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1002</Words>
  <Characters>5713</Characters>
  <Application>Microsoft Office Word</Application>
  <DocSecurity>0</DocSecurity>
  <Lines>47</Lines>
  <Paragraphs>13</Paragraphs>
  <ScaleCrop>false</ScaleCrop>
  <Company/>
  <LinksUpToDate>false</LinksUpToDate>
  <CharactersWithSpaces>6702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ปวเรศ ศรีจันทร์โท</cp:lastModifiedBy>
  <cp:revision>2</cp:revision>
  <dcterms:created xsi:type="dcterms:W3CDTF">2026-06-02T12:35:00Z</dcterms:created>
  <dcterms:modified xsi:type="dcterms:W3CDTF">2026-06-02T12:41:00Z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15bbddbc-3bd4-411c-aef6-3c4c403b0dd1</vt:lpwstr>
  </property>
</Properties>
</file>