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253E87"/>
          <w:sz w:val="52"/>
        </w:rPr>
        <w:t>Calculs de paie et retenues</w:t>
      </w:r>
    </w:p>
    <w:p>
      <w:pPr>
        <w:spacing w:after="360"/>
      </w:pPr>
      <w:r>
        <w:rPr>
          <w:color w:val="6B7280"/>
          <w:sz w:val="24"/>
        </w:rPr>
        <w:t>RHFlow — moteur de paie : bases, impôts, cotisations et net à payer</w:t>
      </w:r>
    </w:p>
    <w:tbl>
      <w:tblPr>
        <w:tblStyle w:val="TableGrid"/>
        <w:tblW w:type="auto" w:w="0"/>
        <w:jc w:val="left"/>
        <w:tblLook w:firstColumn="1" w:firstRow="1" w:lastColumn="0" w:lastRow="0" w:noHBand="0" w:noVBand="1" w:val="04A0"/>
      </w:tblPr>
      <w:tblGrid>
        <w:gridCol w:w="4873"/>
        <w:gridCol w:w="4873"/>
      </w:tblGrid>
      <w:tr>
        <w:tc>
          <w:tcPr>
            <w:tcW w:type="dxa" w:w="2551"/>
            <w:shd w:val="clear" w:fill="253E87"/>
          </w:tcPr>
          <w:p>
            <w:r/>
            <w:r>
              <w:rPr>
                <w:b/>
                <w:color w:val="FFFFFF"/>
                <w:sz w:val="19"/>
              </w:rPr>
              <w:t>Élément</w:t>
            </w:r>
          </w:p>
        </w:tc>
        <w:tc>
          <w:tcPr>
            <w:tcW w:type="dxa" w:w="6803"/>
            <w:shd w:val="clear" w:fill="253E87"/>
          </w:tcPr>
          <w:p>
            <w:r/>
            <w:r>
              <w:rPr>
                <w:b/>
                <w:color w:val="FFFFFF"/>
                <w:sz w:val="19"/>
              </w:rPr>
              <w:t>Valeur</w:t>
            </w:r>
          </w:p>
        </w:tc>
      </w:tr>
      <w:tr>
        <w:tc>
          <w:tcPr>
            <w:tcW w:type="dxa" w:w="2551"/>
          </w:tcPr>
          <w:p>
            <w:pPr>
              <w:spacing w:after="40"/>
            </w:pPr>
            <w:r/>
            <w:r>
              <w:rPr>
                <w:sz w:val="19"/>
              </w:rPr>
              <w:t>Objet</w:t>
            </w:r>
          </w:p>
        </w:tc>
        <w:tc>
          <w:tcPr>
            <w:tcW w:type="dxa" w:w="6803"/>
          </w:tcPr>
          <w:p>
            <w:pPr>
              <w:spacing w:after="40"/>
            </w:pPr>
            <w:r/>
            <w:r>
              <w:rPr>
                <w:sz w:val="19"/>
              </w:rPr>
              <w:t>Description exhaustive des calculs de paie implémentés dans le code</w:t>
            </w:r>
          </w:p>
        </w:tc>
      </w:tr>
      <w:tr>
        <w:tc>
          <w:tcPr>
            <w:tcW w:type="dxa" w:w="2551"/>
            <w:shd w:val="clear" w:fill="F7F8FC"/>
          </w:tcPr>
          <w:p>
            <w:pPr>
              <w:spacing w:after="40"/>
            </w:pPr>
            <w:r/>
            <w:r>
              <w:rPr>
                <w:sz w:val="19"/>
              </w:rPr>
              <w:t>Périmètre</w:t>
            </w:r>
          </w:p>
        </w:tc>
        <w:tc>
          <w:tcPr>
            <w:tcW w:type="dxa" w:w="6803"/>
            <w:shd w:val="clear" w:fill="F7F8FC"/>
          </w:tcPr>
          <w:p>
            <w:pPr>
              <w:spacing w:after="40"/>
            </w:pPr>
            <w:r/>
            <w:r>
              <w:rPr>
                <w:sz w:val="19"/>
              </w:rPr>
              <w:t>Modules PaieSalaries, Employees, Loans, NatureAvantage, Time, Ruptures</w:t>
            </w:r>
          </w:p>
        </w:tc>
      </w:tr>
      <w:tr>
        <w:tc>
          <w:tcPr>
            <w:tcW w:type="dxa" w:w="2551"/>
          </w:tcPr>
          <w:p>
            <w:pPr>
              <w:spacing w:after="40"/>
            </w:pPr>
            <w:r/>
            <w:r>
              <w:rPr>
                <w:sz w:val="19"/>
              </w:rPr>
              <w:t>Version du code</w:t>
            </w:r>
          </w:p>
        </w:tc>
        <w:tc>
          <w:tcPr>
            <w:tcW w:type="dxa" w:w="6803"/>
          </w:tcPr>
          <w:p>
            <w:pPr>
              <w:spacing w:after="40"/>
            </w:pPr>
            <w:r/>
            <w:r>
              <w:rPr>
                <w:sz w:val="19"/>
              </w:rPr>
              <w:t>branche main, commit 0a6cd8a</w:t>
            </w:r>
          </w:p>
        </w:tc>
      </w:tr>
      <w:tr>
        <w:tc>
          <w:tcPr>
            <w:tcW w:type="dxa" w:w="2551"/>
            <w:shd w:val="clear" w:fill="F7F8FC"/>
          </w:tcPr>
          <w:p>
            <w:pPr>
              <w:spacing w:after="40"/>
            </w:pPr>
            <w:r/>
            <w:r>
              <w:rPr>
                <w:sz w:val="19"/>
              </w:rPr>
              <w:t>Date d'établissement</w:t>
            </w:r>
          </w:p>
        </w:tc>
        <w:tc>
          <w:tcPr>
            <w:tcW w:type="dxa" w:w="6803"/>
            <w:shd w:val="clear" w:fill="F7F8FC"/>
          </w:tcPr>
          <w:p>
            <w:pPr>
              <w:spacing w:after="40"/>
            </w:pPr>
            <w:r/>
            <w:r>
              <w:rPr>
                <w:sz w:val="19"/>
              </w:rPr>
              <w:t>21 septembre 2026</w:t>
            </w:r>
          </w:p>
        </w:tc>
      </w:tr>
      <w:tr>
        <w:tc>
          <w:tcPr>
            <w:tcW w:type="dxa" w:w="2551"/>
          </w:tcPr>
          <w:p>
            <w:pPr>
              <w:spacing w:after="40"/>
            </w:pPr>
            <w:r/>
            <w:r>
              <w:rPr>
                <w:sz w:val="19"/>
              </w:rPr>
              <w:t>Devise</w:t>
            </w:r>
          </w:p>
        </w:tc>
        <w:tc>
          <w:tcPr>
            <w:tcW w:type="dxa" w:w="6803"/>
          </w:tcPr>
          <w:p>
            <w:pPr>
              <w:spacing w:after="40"/>
            </w:pPr>
            <w:r/>
            <w:r>
              <w:rPr>
                <w:sz w:val="19"/>
              </w:rPr>
              <w:t>FCFA (XOF)</w:t>
            </w:r>
          </w:p>
        </w:tc>
      </w:tr>
      <w:tr>
        <w:tc>
          <w:tcPr>
            <w:tcW w:type="dxa" w:w="2551"/>
            <w:shd w:val="clear" w:fill="F7F8FC"/>
          </w:tcPr>
          <w:p>
            <w:pPr>
              <w:spacing w:after="40"/>
            </w:pPr>
            <w:r/>
            <w:r>
              <w:rPr>
                <w:sz w:val="19"/>
              </w:rPr>
              <w:t>Méthode</w:t>
            </w:r>
          </w:p>
        </w:tc>
        <w:tc>
          <w:tcPr>
            <w:tcW w:type="dxa" w:w="6803"/>
            <w:shd w:val="clear" w:fill="F7F8FC"/>
          </w:tcPr>
          <w:p>
            <w:pPr>
              <w:spacing w:after="40"/>
            </w:pPr>
            <w:r/>
            <w:r>
              <w:rPr>
                <w:sz w:val="19"/>
              </w:rPr>
              <w:t>Lecture intégrale du code source ; aucun calcul n'est repris de la documentation existante</w:t>
            </w:r>
          </w:p>
        </w:tc>
      </w:tr>
    </w:tbl>
    <w:p>
      <w:pPr>
        <w:spacing w:after="40"/>
      </w:pPr>
    </w:p>
    <w:p>
      <w:r>
        <w:rPr>
          <w:b w:val="0"/>
          <w:i/>
          <w:color w:val="6B7280"/>
        </w:rPr>
        <w:t>Ce document décrit ce que le code fait aujourd'hui, et non ce que la réglementation prescrit. Les références légales citées sont celles inscrites dans les commentaires du code source. Le chapitre 9 recense les écarts, doublons et codes morts constatés pendant la lecture.</w:t>
      </w:r>
    </w:p>
    <w:p>
      <w:r>
        <w:br w:type="page"/>
      </w:r>
    </w:p>
    <w:p>
      <w:pPr>
        <w:pStyle w:val="Heading1"/>
      </w:pPr>
      <w:r>
        <w:t>1. Architecture du calcul</w:t>
      </w:r>
    </w:p>
    <w:p>
      <w:r>
        <w:rPr>
          <w:b w:val="0"/>
          <w:i w:val="0"/>
        </w:rPr>
        <w:t>Le calcul d'un bulletin se fait en trois couches successives. Chacune s'appuie sur la précédente et aucune ne recalcule ce que la précédente a produit.</w:t>
      </w:r>
    </w:p>
    <w:tbl>
      <w:tblPr>
        <w:tblStyle w:val="TableGrid"/>
        <w:tblW w:type="auto" w:w="0"/>
        <w:jc w:val="left"/>
        <w:tblLook w:firstColumn="1" w:firstRow="1" w:lastColumn="0" w:lastRow="0" w:noHBand="0" w:noVBand="1" w:val="04A0"/>
      </w:tblPr>
      <w:tblGrid>
        <w:gridCol w:w="3249"/>
        <w:gridCol w:w="3249"/>
        <w:gridCol w:w="3249"/>
      </w:tblGrid>
      <w:tr>
        <w:tc>
          <w:tcPr>
            <w:tcW w:type="dxa" w:w="1474"/>
            <w:shd w:val="clear" w:fill="253E87"/>
          </w:tcPr>
          <w:p>
            <w:r/>
            <w:r>
              <w:rPr>
                <w:b/>
                <w:color w:val="FFFFFF"/>
                <w:sz w:val="19"/>
              </w:rPr>
              <w:t>Couche</w:t>
            </w:r>
          </w:p>
        </w:tc>
        <w:tc>
          <w:tcPr>
            <w:tcW w:type="dxa" w:w="4195"/>
            <w:shd w:val="clear" w:fill="253E87"/>
          </w:tcPr>
          <w:p>
            <w:r/>
            <w:r>
              <w:rPr>
                <w:b/>
                <w:color w:val="FFFFFF"/>
                <w:sz w:val="19"/>
              </w:rPr>
              <w:t>Fichier</w:t>
            </w:r>
          </w:p>
        </w:tc>
        <w:tc>
          <w:tcPr>
            <w:tcW w:type="dxa" w:w="3685"/>
            <w:shd w:val="clear" w:fill="253E87"/>
          </w:tcPr>
          <w:p>
            <w:r/>
            <w:r>
              <w:rPr>
                <w:b/>
                <w:color w:val="FFFFFF"/>
                <w:sz w:val="19"/>
              </w:rPr>
              <w:t>Rôle</w:t>
            </w:r>
          </w:p>
        </w:tc>
      </w:tr>
      <w:tr>
        <w:tc>
          <w:tcPr>
            <w:tcW w:type="dxa" w:w="1474"/>
          </w:tcPr>
          <w:p>
            <w:pPr>
              <w:spacing w:after="40"/>
            </w:pPr>
            <w:r/>
            <w:r>
              <w:rPr>
                <w:sz w:val="19"/>
              </w:rPr>
              <w:t>Bases</w:t>
            </w:r>
          </w:p>
        </w:tc>
        <w:tc>
          <w:tcPr>
            <w:tcW w:type="dxa" w:w="4195"/>
          </w:tcPr>
          <w:p>
            <w:pPr>
              <w:spacing w:after="40"/>
            </w:pPr>
            <w:r/>
            <w:r>
              <w:rPr>
                <w:sz w:val="19"/>
              </w:rPr>
              <w:t>Modules/Employees/Models/Employee.php</w:t>
            </w:r>
          </w:p>
        </w:tc>
        <w:tc>
          <w:tcPr>
            <w:tcW w:type="dxa" w:w="3685"/>
          </w:tcPr>
          <w:p>
            <w:pPr>
              <w:spacing w:after="40"/>
            </w:pPr>
            <w:r/>
            <w:r>
              <w:rPr>
                <w:sz w:val="19"/>
              </w:rPr>
              <w:t>Brut total, brut imposable (SBI), brut social (SBS)</w:t>
            </w:r>
          </w:p>
        </w:tc>
      </w:tr>
      <w:tr>
        <w:tc>
          <w:tcPr>
            <w:tcW w:type="dxa" w:w="1474"/>
            <w:shd w:val="clear" w:fill="F7F8FC"/>
          </w:tcPr>
          <w:p>
            <w:pPr>
              <w:spacing w:after="40"/>
            </w:pPr>
            <w:r/>
            <w:r>
              <w:rPr>
                <w:sz w:val="19"/>
              </w:rPr>
              <w:t>Retenues</w:t>
            </w:r>
          </w:p>
        </w:tc>
        <w:tc>
          <w:tcPr>
            <w:tcW w:type="dxa" w:w="4195"/>
            <w:shd w:val="clear" w:fill="F7F8FC"/>
          </w:tcPr>
          <w:p>
            <w:pPr>
              <w:spacing w:after="40"/>
            </w:pPr>
            <w:r/>
            <w:r>
              <w:rPr>
                <w:sz w:val="19"/>
              </w:rPr>
              <w:t>app/Services/SalaryService.php</w:t>
            </w:r>
          </w:p>
        </w:tc>
        <w:tc>
          <w:tcPr>
            <w:tcW w:type="dxa" w:w="3685"/>
            <w:shd w:val="clear" w:fill="F7F8FC"/>
          </w:tcPr>
          <w:p>
            <w:pPr>
              <w:spacing w:after="40"/>
            </w:pPr>
            <w:r/>
            <w:r>
              <w:rPr>
                <w:sz w:val="19"/>
              </w:rPr>
              <w:t>ITS, CNPS, CMU et charges patronales écrites dans la table retenues</w:t>
            </w:r>
          </w:p>
        </w:tc>
      </w:tr>
      <w:tr>
        <w:tc>
          <w:tcPr>
            <w:tcW w:type="dxa" w:w="1474"/>
          </w:tcPr>
          <w:p>
            <w:pPr>
              <w:spacing w:after="40"/>
            </w:pPr>
            <w:r/>
            <w:r>
              <w:rPr>
                <w:sz w:val="19"/>
              </w:rPr>
              <w:t>Bulletin</w:t>
            </w:r>
          </w:p>
        </w:tc>
        <w:tc>
          <w:tcPr>
            <w:tcW w:type="dxa" w:w="4195"/>
          </w:tcPr>
          <w:p>
            <w:pPr>
              <w:spacing w:after="40"/>
            </w:pPr>
            <w:r/>
            <w:r>
              <w:rPr>
                <w:sz w:val="19"/>
              </w:rPr>
              <w:t>Modules/PaieSalaries/Http/Controllers/PaieSalariesController.php</w:t>
            </w:r>
          </w:p>
        </w:tc>
        <w:tc>
          <w:tcPr>
            <w:tcW w:type="dxa" w:w="3685"/>
          </w:tcPr>
          <w:p>
            <w:pPr>
              <w:spacing w:after="40"/>
            </w:pPr>
            <w:r/>
            <w:r>
              <w:rPr>
                <w:sz w:val="19"/>
              </w:rPr>
              <w:t>Fige les montants dans la table pay_slips</w:t>
            </w:r>
          </w:p>
        </w:tc>
      </w:tr>
    </w:tbl>
    <w:p>
      <w:pPr>
        <w:spacing w:after="40"/>
      </w:pPr>
    </w:p>
    <w:p>
      <w:r>
        <w:rPr>
          <w:b/>
          <w:i w:val="0"/>
        </w:rPr>
        <w:t>Ordre d'exécution à la génération des bulletins :</w:t>
      </w:r>
    </w:p>
    <w:p>
      <w:pPr>
        <w:pStyle w:val="ListNumber"/>
        <w:spacing w:after="100"/>
        <w:ind w:left="397"/>
      </w:pPr>
      <w:r>
        <w:t>appliquerRetenuesLegales() calcule et enregistre toutes les retenues légales du salarié pour la période.</w:t>
      </w:r>
    </w:p>
    <w:p>
      <w:pPr>
        <w:pStyle w:val="ListNumber"/>
        <w:spacing w:after="100"/>
        <w:ind w:left="397"/>
      </w:pPr>
      <w:r>
        <w:t>Les bases (brut, SBI, SBS) sont relues depuis le modèle Employee.</w:t>
      </w:r>
    </w:p>
    <w:p>
      <w:pPr>
        <w:pStyle w:val="ListNumber"/>
        <w:spacing w:after="100"/>
        <w:ind w:left="397"/>
      </w:pPr>
      <w:r>
        <w:t>Le bulletin est créé : net à payer, brut, net imposable, net social, total des retenues et des charges patronales, plus un instantané JSON des primes et des retenues.</w:t>
      </w:r>
    </w:p>
    <w:p>
      <w:pPr>
        <w:spacing w:after="200"/>
      </w:pPr>
      <w:r>
        <w:rPr>
          <w:i/>
          <w:color w:val="6B7280"/>
          <w:sz w:val="18"/>
        </w:rPr>
        <w:t>Source : PaieSalariesController.php, méthode genererBulletins(), ligne 3339</w:t>
      </w:r>
    </w:p>
    <w:p>
      <w:pPr>
        <w:pStyle w:val="Heading1"/>
      </w:pPr>
      <w:r>
        <w:t>2. Données d'entrée par salarié</w:t>
      </w:r>
    </w:p>
    <w:tbl>
      <w:tblPr>
        <w:tblStyle w:val="TableGrid"/>
        <w:tblW w:type="auto" w:w="0"/>
        <w:jc w:val="left"/>
        <w:tblLook w:firstColumn="1" w:firstRow="1" w:lastColumn="0" w:lastRow="0" w:noHBand="0" w:noVBand="1" w:val="04A0"/>
      </w:tblPr>
      <w:tblGrid>
        <w:gridCol w:w="4873"/>
        <w:gridCol w:w="4873"/>
      </w:tblGrid>
      <w:tr>
        <w:tc>
          <w:tcPr>
            <w:tcW w:type="dxa" w:w="2041"/>
            <w:shd w:val="clear" w:fill="253E87"/>
          </w:tcPr>
          <w:p>
            <w:r/>
            <w:r>
              <w:rPr>
                <w:b/>
                <w:color w:val="FFFFFF"/>
                <w:sz w:val="19"/>
              </w:rPr>
              <w:t>Champ</w:t>
            </w:r>
          </w:p>
        </w:tc>
        <w:tc>
          <w:tcPr>
            <w:tcW w:type="dxa" w:w="7313"/>
            <w:shd w:val="clear" w:fill="253E87"/>
          </w:tcPr>
          <w:p>
            <w:r/>
            <w:r>
              <w:rPr>
                <w:b/>
                <w:color w:val="FFFFFF"/>
                <w:sz w:val="19"/>
              </w:rPr>
              <w:t>Rôle dans le calcul</w:t>
            </w:r>
          </w:p>
        </w:tc>
      </w:tr>
      <w:tr>
        <w:tc>
          <w:tcPr>
            <w:tcW w:type="dxa" w:w="2041"/>
          </w:tcPr>
          <w:p>
            <w:pPr>
              <w:spacing w:after="40"/>
            </w:pPr>
            <w:r/>
            <w:r>
              <w:rPr>
                <w:rFonts w:ascii="Consolas" w:hAnsi="Consolas"/>
                <w:color w:val="253E87"/>
                <w:sz w:val="18"/>
              </w:rPr>
              <w:t>salary</w:t>
            </w:r>
          </w:p>
        </w:tc>
        <w:tc>
          <w:tcPr>
            <w:tcW w:type="dxa" w:w="7313"/>
          </w:tcPr>
          <w:p>
            <w:pPr>
              <w:spacing w:after="40"/>
            </w:pPr>
            <w:r/>
            <w:r>
              <w:rPr>
                <w:sz w:val="19"/>
              </w:rPr>
              <w:t>Salaire catégoriel mensuel, exprimé sur une base de 30 jours</w:t>
            </w:r>
          </w:p>
        </w:tc>
      </w:tr>
      <w:tr>
        <w:tc>
          <w:tcPr>
            <w:tcW w:type="dxa" w:w="2041"/>
            <w:shd w:val="clear" w:fill="F7F8FC"/>
          </w:tcPr>
          <w:p>
            <w:pPr>
              <w:spacing w:after="40"/>
            </w:pPr>
            <w:r/>
            <w:r>
              <w:rPr>
                <w:rFonts w:ascii="Consolas" w:hAnsi="Consolas"/>
                <w:color w:val="253E87"/>
                <w:sz w:val="18"/>
              </w:rPr>
              <w:t>tax_payer_id</w:t>
            </w:r>
          </w:p>
        </w:tc>
        <w:tc>
          <w:tcPr>
            <w:tcW w:type="dxa" w:w="7313"/>
            <w:shd w:val="clear" w:fill="F7F8FC"/>
          </w:tcPr>
          <w:p>
            <w:pPr>
              <w:spacing w:after="40"/>
            </w:pPr>
            <w:r/>
            <w:r>
              <w:rPr>
                <w:sz w:val="19"/>
              </w:rPr>
              <w:t>Nombre de jours travaillés du mois</w:t>
            </w:r>
          </w:p>
        </w:tc>
      </w:tr>
      <w:tr>
        <w:tc>
          <w:tcPr>
            <w:tcW w:type="dxa" w:w="2041"/>
          </w:tcPr>
          <w:p>
            <w:pPr>
              <w:spacing w:after="40"/>
            </w:pPr>
            <w:r/>
            <w:r>
              <w:rPr>
                <w:rFonts w:ascii="Consolas" w:hAnsi="Consolas"/>
                <w:color w:val="253E87"/>
                <w:sz w:val="18"/>
              </w:rPr>
              <w:t>parts</w:t>
            </w:r>
          </w:p>
        </w:tc>
        <w:tc>
          <w:tcPr>
            <w:tcW w:type="dxa" w:w="7313"/>
          </w:tcPr>
          <w:p>
            <w:pPr>
              <w:spacing w:after="40"/>
            </w:pPr>
            <w:r/>
            <w:r>
              <w:rPr>
                <w:sz w:val="19"/>
              </w:rPr>
              <w:t>Parts IGR, plafonnées à 5</w:t>
            </w:r>
          </w:p>
        </w:tc>
      </w:tr>
      <w:tr>
        <w:tc>
          <w:tcPr>
            <w:tcW w:type="dxa" w:w="2041"/>
            <w:shd w:val="clear" w:fill="F7F8FC"/>
          </w:tcPr>
          <w:p>
            <w:pPr>
              <w:spacing w:after="40"/>
            </w:pPr>
            <w:r/>
            <w:r>
              <w:rPr>
                <w:rFonts w:ascii="Consolas" w:hAnsi="Consolas"/>
                <w:color w:val="253E87"/>
                <w:sz w:val="18"/>
              </w:rPr>
              <w:t>cmu</w:t>
            </w:r>
          </w:p>
        </w:tc>
        <w:tc>
          <w:tcPr>
            <w:tcW w:type="dxa" w:w="7313"/>
            <w:shd w:val="clear" w:fill="F7F8FC"/>
          </w:tcPr>
          <w:p>
            <w:pPr>
              <w:spacing w:after="40"/>
            </w:pPr>
            <w:r/>
            <w:r>
              <w:rPr>
                <w:sz w:val="19"/>
              </w:rPr>
              <w:t>Nombre de bénéficiaires de la couverture maladie universelle</w:t>
            </w:r>
          </w:p>
        </w:tc>
      </w:tr>
      <w:tr>
        <w:tc>
          <w:tcPr>
            <w:tcW w:type="dxa" w:w="2041"/>
          </w:tcPr>
          <w:p>
            <w:pPr>
              <w:spacing w:after="40"/>
            </w:pPr>
            <w:r/>
            <w:r>
              <w:rPr>
                <w:rFonts w:ascii="Consolas" w:hAnsi="Consolas"/>
                <w:color w:val="253E87"/>
                <w:sz w:val="18"/>
              </w:rPr>
              <w:t>charge_expat</w:t>
            </w:r>
          </w:p>
        </w:tc>
        <w:tc>
          <w:tcPr>
            <w:tcW w:type="dxa" w:w="7313"/>
          </w:tcPr>
          <w:p>
            <w:pPr>
              <w:spacing w:after="40"/>
            </w:pPr>
            <w:r/>
            <w:r>
              <w:rPr>
                <w:sz w:val="19"/>
              </w:rPr>
              <w:t>Vaut « local » ou non : déclenche la contribution employeur expatrié de 9,2 %</w:t>
            </w:r>
          </w:p>
        </w:tc>
      </w:tr>
      <w:tr>
        <w:tc>
          <w:tcPr>
            <w:tcW w:type="dxa" w:w="2041"/>
            <w:shd w:val="clear" w:fill="F7F8FC"/>
          </w:tcPr>
          <w:p>
            <w:pPr>
              <w:spacing w:after="40"/>
            </w:pPr>
            <w:r/>
            <w:r>
              <w:rPr>
                <w:rFonts w:ascii="Consolas" w:hAnsi="Consolas"/>
                <w:color w:val="253E87"/>
                <w:sz w:val="18"/>
              </w:rPr>
              <w:t>allowances</w:t>
            </w:r>
          </w:p>
        </w:tc>
        <w:tc>
          <w:tcPr>
            <w:tcW w:type="dxa" w:w="7313"/>
            <w:shd w:val="clear" w:fill="F7F8FC"/>
          </w:tcPr>
          <w:p>
            <w:pPr>
              <w:spacing w:after="40"/>
            </w:pPr>
            <w:r/>
            <w:r>
              <w:rPr>
                <w:sz w:val="19"/>
              </w:rPr>
              <w:t>Primes de la période, avec leur traitement fiscal et social</w:t>
            </w:r>
          </w:p>
        </w:tc>
      </w:tr>
      <w:tr>
        <w:tc>
          <w:tcPr>
            <w:tcW w:type="dxa" w:w="2041"/>
          </w:tcPr>
          <w:p>
            <w:pPr>
              <w:spacing w:after="40"/>
            </w:pPr>
            <w:r/>
            <w:r>
              <w:rPr>
                <w:rFonts w:ascii="Consolas" w:hAnsi="Consolas"/>
                <w:color w:val="253E87"/>
                <w:sz w:val="18"/>
              </w:rPr>
              <w:t>avantages</w:t>
            </w:r>
          </w:p>
        </w:tc>
        <w:tc>
          <w:tcPr>
            <w:tcW w:type="dxa" w:w="7313"/>
          </w:tcPr>
          <w:p>
            <w:pPr>
              <w:spacing w:after="40"/>
            </w:pPr>
            <w:r/>
            <w:r>
              <w:rPr>
                <w:sz w:val="19"/>
              </w:rPr>
              <w:t>Avantages en nature (barème) et avantages en argent (montant réel)</w:t>
            </w:r>
          </w:p>
        </w:tc>
      </w:tr>
    </w:tbl>
    <w:p>
      <w:pPr>
        <w:spacing w:after="40"/>
      </w:pPr>
    </w:p>
    <w:p>
      <w:pPr>
        <w:pStyle w:val="Heading2"/>
      </w:pPr>
      <w:r>
        <w:t>2.1 Nombre de jours retenu</w:t>
      </w:r>
    </w:p>
    <w:p>
      <w:r>
        <w:rPr>
          <w:b w:val="0"/>
          <w:i w:val="0"/>
        </w:rPr>
        <w:t>La méthode get_jours_work() lit d'abord le nombre de jours porté par la ligne de prime de la période, et retombe sur tax_payer_id si cette ligne est absente. Les valeurs 28, 29 et 31 sont ramenées à 30 : un mois complet est toujours traité comme 30 jours, quel que soit le calendrier.</w:t>
      </w:r>
    </w:p>
    <w:p>
      <w:pPr>
        <w:spacing w:after="200"/>
      </w:pPr>
      <w:r>
        <w:rPr>
          <w:i/>
          <w:color w:val="6B7280"/>
          <w:sz w:val="18"/>
        </w:rPr>
        <w:t>Source : Employee.php, ligne 913</w:t>
      </w:r>
    </w:p>
    <w:p>
      <w:pPr>
        <w:pStyle w:val="Heading2"/>
      </w:pPr>
      <w:r>
        <w:t>2.2 Calcul automatique des parts</w:t>
      </w:r>
    </w:p>
    <w:p>
      <w:r>
        <w:rPr>
          <w:b w:val="0"/>
          <w:i w:val="0"/>
        </w:rPr>
        <w:t>Les parts sont calculées à la saisie du salarié, à partir de la situation matrimoniale, du nombre d'enfants et des personnes à charge :</w:t>
      </w:r>
    </w:p>
    <w:p>
      <w:pPr>
        <w:spacing w:before="80" w:after="160" w:line="240" w:lineRule="auto"/>
        <w:ind w:left="227"/>
        <w:shd w:val="clear" w:fill="F3F4F6"/>
      </w:pPr>
      <w:r>
        <w:rPr>
          <w:rFonts w:ascii="Consolas" w:hAnsi="Consolas"/>
          <w:color w:val="141B2B"/>
          <w:sz w:val="18"/>
        </w:rPr>
        <w:t>marié sans enfant                       -&gt;  2 parts</w:t>
        <w:br/>
      </w:r>
      <w:r>
        <w:rPr>
          <w:rFonts w:ascii="Consolas" w:hAnsi="Consolas"/>
          <w:color w:val="141B2B"/>
          <w:sz w:val="18"/>
        </w:rPr>
        <w:t>célibataire ou divorcé avec enfants     -&gt;  2   + 0,5 par enfant au-delà du premier</w:t>
        <w:br/>
      </w:r>
      <w:r>
        <w:rPr>
          <w:rFonts w:ascii="Consolas" w:hAnsi="Consolas"/>
          <w:color w:val="141B2B"/>
          <w:sz w:val="18"/>
        </w:rPr>
        <w:t>marié ou veuf avec enfants              -&gt;  2,5 + 0,5 par enfant au-delà du premier</w:t>
        <w:br/>
      </w:r>
      <w:r>
        <w:rPr>
          <w:rFonts w:ascii="Consolas" w:hAnsi="Consolas"/>
          <w:color w:val="141B2B"/>
          <w:sz w:val="18"/>
        </w:rPr>
        <w:t>+ 1 part par personne à charge</w:t>
        <w:br/>
      </w:r>
      <w:r>
        <w:rPr>
          <w:rFonts w:ascii="Consolas" w:hAnsi="Consolas"/>
          <w:color w:val="141B2B"/>
          <w:sz w:val="18"/>
        </w:rPr>
        <w:t>résultat plafonné à 5 parts</w:t>
      </w:r>
    </w:p>
    <w:p>
      <w:pPr>
        <w:spacing w:after="200"/>
      </w:pPr>
      <w:r>
        <w:rPr>
          <w:i/>
          <w:color w:val="6B7280"/>
          <w:sz w:val="18"/>
        </w:rPr>
        <w:t>Source : Modules/Employees/resources/views/create.blade.php, fonction status(), ligne 1310</w:t>
      </w:r>
    </w:p>
    <w:p>
      <w:pPr>
        <w:pStyle w:val="Heading2"/>
      </w:pPr>
      <w:r>
        <w:t>2.3 Codification des primes</w:t>
      </w:r>
    </w:p>
    <w:p>
      <w:r>
        <w:rPr>
          <w:b w:val="0"/>
          <w:i w:val="0"/>
        </w:rPr>
        <w:t>Le code d'une prime vaut « 1 » suivi du numéro de son option. Les codes suivants sont interprétés spécifiquement par le moteur de calcul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907"/>
            <w:shd w:val="clear" w:fill="253E87"/>
          </w:tcPr>
          <w:p>
            <w:r/>
            <w:r>
              <w:rPr>
                <w:b/>
                <w:color w:val="FFFFFF"/>
                <w:sz w:val="19"/>
              </w:rPr>
              <w:t>Code</w:t>
            </w:r>
          </w:p>
        </w:tc>
        <w:tc>
          <w:tcPr>
            <w:tcW w:type="dxa" w:w="1020"/>
            <w:shd w:val="clear" w:fill="253E87"/>
          </w:tcPr>
          <w:p>
            <w:r/>
            <w:r>
              <w:rPr>
                <w:b/>
                <w:color w:val="FFFFFF"/>
                <w:sz w:val="19"/>
              </w:rPr>
              <w:t>Option</w:t>
            </w:r>
          </w:p>
        </w:tc>
        <w:tc>
          <w:tcPr>
            <w:tcW w:type="dxa" w:w="2948"/>
            <w:shd w:val="clear" w:fill="253E87"/>
          </w:tcPr>
          <w:p>
            <w:r/>
            <w:r>
              <w:rPr>
                <w:b/>
                <w:color w:val="FFFFFF"/>
                <w:sz w:val="19"/>
              </w:rPr>
              <w:t>Libellé</w:t>
            </w:r>
          </w:p>
        </w:tc>
        <w:tc>
          <w:tcPr>
            <w:tcW w:type="dxa" w:w="4479"/>
            <w:shd w:val="clear" w:fill="253E87"/>
          </w:tcPr>
          <w:p>
            <w:r/>
            <w:r>
              <w:rPr>
                <w:b/>
                <w:color w:val="FFFFFF"/>
                <w:sz w:val="19"/>
              </w:rPr>
              <w:t>Effet</w:t>
            </w:r>
          </w:p>
        </w:tc>
      </w:tr>
      <w:tr>
        <w:tc>
          <w:tcPr>
            <w:tcW w:type="dxa" w:w="907"/>
          </w:tcPr>
          <w:p>
            <w:pPr>
              <w:spacing w:after="40"/>
            </w:pPr>
            <w:r/>
            <w:r>
              <w:rPr>
                <w:rFonts w:ascii="Consolas" w:hAnsi="Consolas"/>
                <w:color w:val="253E87"/>
                <w:sz w:val="18"/>
              </w:rPr>
              <w:t>111</w:t>
            </w:r>
          </w:p>
        </w:tc>
        <w:tc>
          <w:tcPr>
            <w:tcW w:type="dxa" w:w="1020"/>
          </w:tcPr>
          <w:p>
            <w:pPr>
              <w:spacing w:after="40"/>
            </w:pPr>
            <w:r/>
            <w:r>
              <w:rPr>
                <w:sz w:val="19"/>
              </w:rPr>
              <w:t>11</w:t>
            </w:r>
          </w:p>
        </w:tc>
        <w:tc>
          <w:tcPr>
            <w:tcW w:type="dxa" w:w="2948"/>
          </w:tcPr>
          <w:p>
            <w:pPr>
              <w:spacing w:after="40"/>
            </w:pPr>
            <w:r/>
            <w:r>
              <w:rPr>
                <w:sz w:val="19"/>
              </w:rPr>
              <w:t>Prime de transport légale</w:t>
            </w:r>
          </w:p>
        </w:tc>
        <w:tc>
          <w:tcPr>
            <w:tcW w:type="dxa" w:w="4479"/>
          </w:tcPr>
          <w:p>
            <w:pPr>
              <w:spacing w:after="40"/>
            </w:pPr>
            <w:r/>
            <w:r>
              <w:rPr>
                <w:sz w:val="19"/>
              </w:rPr>
              <w:t>Exonérée jusqu'au plafond de la ville ; exclue de l'assiette de l'abattement de 10 %</w:t>
            </w:r>
          </w:p>
        </w:tc>
      </w:tr>
      <w:tr>
        <w:tc>
          <w:tcPr>
            <w:tcW w:type="dxa" w:w="907"/>
            <w:shd w:val="clear" w:fill="F7F8FC"/>
          </w:tcPr>
          <w:p>
            <w:pPr>
              <w:spacing w:after="40"/>
            </w:pPr>
            <w:r/>
            <w:r>
              <w:rPr>
                <w:rFonts w:ascii="Consolas" w:hAnsi="Consolas"/>
                <w:color w:val="253E87"/>
                <w:sz w:val="18"/>
              </w:rPr>
              <w:t>126</w:t>
            </w:r>
          </w:p>
        </w:tc>
        <w:tc>
          <w:tcPr>
            <w:tcW w:type="dxa" w:w="1020"/>
            <w:shd w:val="clear" w:fill="F7F8FC"/>
          </w:tcPr>
          <w:p>
            <w:pPr>
              <w:spacing w:after="40"/>
            </w:pPr>
            <w:r/>
            <w:r>
              <w:rPr>
                <w:sz w:val="19"/>
              </w:rPr>
              <w:t>26</w:t>
            </w:r>
          </w:p>
        </w:tc>
        <w:tc>
          <w:tcPr>
            <w:tcW w:type="dxa" w:w="2948"/>
            <w:shd w:val="clear" w:fill="F7F8FC"/>
          </w:tcPr>
          <w:p>
            <w:pPr>
              <w:spacing w:after="40"/>
            </w:pPr>
            <w:r/>
            <w:r>
              <w:rPr>
                <w:sz w:val="19"/>
              </w:rPr>
              <w:t>Allocations familiales CNPS</w:t>
            </w:r>
          </w:p>
        </w:tc>
        <w:tc>
          <w:tcPr>
            <w:tcW w:type="dxa" w:w="4479"/>
            <w:shd w:val="clear" w:fill="F7F8FC"/>
          </w:tcPr>
          <w:p>
            <w:pPr>
              <w:spacing w:after="40"/>
            </w:pPr>
            <w:r/>
            <w:r>
              <w:rPr>
                <w:sz w:val="19"/>
              </w:rPr>
              <w:t>Exclue de l'assiette de l'abattement de 10 %</w:t>
            </w:r>
          </w:p>
        </w:tc>
      </w:tr>
      <w:tr>
        <w:tc>
          <w:tcPr>
            <w:tcW w:type="dxa" w:w="907"/>
          </w:tcPr>
          <w:p>
            <w:pPr>
              <w:spacing w:after="40"/>
            </w:pPr>
            <w:r/>
            <w:r>
              <w:rPr>
                <w:rFonts w:ascii="Consolas" w:hAnsi="Consolas"/>
                <w:color w:val="253E87"/>
                <w:sz w:val="18"/>
              </w:rPr>
              <w:t>131</w:t>
            </w:r>
          </w:p>
        </w:tc>
        <w:tc>
          <w:tcPr>
            <w:tcW w:type="dxa" w:w="1020"/>
          </w:tcPr>
          <w:p>
            <w:pPr>
              <w:spacing w:after="40"/>
            </w:pPr>
            <w:r/>
            <w:r>
              <w:rPr>
                <w:sz w:val="19"/>
              </w:rPr>
              <w:t>31</w:t>
            </w:r>
          </w:p>
        </w:tc>
        <w:tc>
          <w:tcPr>
            <w:tcW w:type="dxa" w:w="2948"/>
          </w:tcPr>
          <w:p>
            <w:pPr>
              <w:spacing w:after="40"/>
            </w:pPr>
            <w:r/>
            <w:r>
              <w:rPr>
                <w:sz w:val="19"/>
              </w:rPr>
              <w:t>Cantine</w:t>
            </w:r>
          </w:p>
        </w:tc>
        <w:tc>
          <w:tcPr>
            <w:tcW w:type="dxa" w:w="4479"/>
          </w:tcPr>
          <w:p>
            <w:pPr>
              <w:spacing w:after="40"/>
            </w:pPr>
            <w:r/>
            <w:r>
              <w:rPr>
                <w:sz w:val="19"/>
              </w:rPr>
              <w:t>Déduite du net à payer ; part au-delà de 30 000 imposable</w:t>
            </w:r>
          </w:p>
        </w:tc>
      </w:tr>
      <w:tr>
        <w:tc>
          <w:tcPr>
            <w:tcW w:type="dxa" w:w="907"/>
            <w:shd w:val="clear" w:fill="F7F8FC"/>
          </w:tcPr>
          <w:p>
            <w:pPr>
              <w:spacing w:after="40"/>
            </w:pPr>
            <w:r/>
            <w:r>
              <w:rPr>
                <w:sz w:val="19"/>
              </w:rPr>
              <w:t>—</w:t>
            </w:r>
          </w:p>
        </w:tc>
        <w:tc>
          <w:tcPr>
            <w:tcW w:type="dxa" w:w="1020"/>
            <w:shd w:val="clear" w:fill="F7F8FC"/>
          </w:tcPr>
          <w:p>
            <w:pPr>
              <w:spacing w:after="40"/>
            </w:pPr>
            <w:r/>
            <w:r>
              <w:rPr>
                <w:sz w:val="19"/>
              </w:rPr>
              <w:t>23</w:t>
            </w:r>
          </w:p>
        </w:tc>
        <w:tc>
          <w:tcPr>
            <w:tcW w:type="dxa" w:w="2948"/>
            <w:shd w:val="clear" w:fill="F7F8FC"/>
          </w:tcPr>
          <w:p>
            <w:pPr>
              <w:spacing w:after="40"/>
            </w:pPr>
            <w:r/>
            <w:r>
              <w:rPr>
                <w:sz w:val="19"/>
              </w:rPr>
              <w:t>Allocation de congé</w:t>
            </w:r>
          </w:p>
        </w:tc>
        <w:tc>
          <w:tcPr>
            <w:tcW w:type="dxa" w:w="4479"/>
            <w:shd w:val="clear" w:fill="F7F8FC"/>
          </w:tcPr>
          <w:p>
            <w:pPr>
              <w:spacing w:after="40"/>
            </w:pPr>
            <w:r/>
            <w:r>
              <w:rPr>
                <w:sz w:val="19"/>
              </w:rPr>
              <w:t>Créée par le module Congés à l'activation</w:t>
            </w:r>
          </w:p>
        </w:tc>
      </w:tr>
    </w:tbl>
    <w:p>
      <w:pPr>
        <w:spacing w:after="40"/>
      </w:pPr>
    </w:p>
    <w:p>
      <w:pPr>
        <w:pStyle w:val="Heading1"/>
      </w:pPr>
      <w:r>
        <w:t>3. Les trois bases de calcul</w:t>
      </w:r>
    </w:p>
    <w:p>
      <w:pPr>
        <w:pStyle w:val="Heading2"/>
      </w:pPr>
      <w:r>
        <w:t>3.1 Brut total</w:t>
      </w:r>
    </w:p>
    <w:p>
      <w:pPr>
        <w:spacing w:before="80" w:after="160" w:line="240" w:lineRule="auto"/>
        <w:ind w:left="227"/>
        <w:shd w:val="clear" w:fill="F3F4F6"/>
      </w:pPr>
      <w:r>
        <w:rPr>
          <w:rFonts w:ascii="Consolas" w:hAnsi="Consolas"/>
          <w:color w:val="141B2B"/>
          <w:sz w:val="18"/>
        </w:rPr>
        <w:t>base   = (jours == 30) ? salary : salary / 30 × jours</w:t>
        <w:br/>
      </w:r>
      <w:r>
        <w:rPr>
          <w:rFonts w:ascii="Consolas" w:hAnsi="Consolas"/>
          <w:color w:val="141B2B"/>
          <w:sz w:val="18"/>
        </w:rPr>
        <w:t>primes = somme des primes, chacune proratisée : montant / 30 × jours</w:t>
        <w:br/>
      </w:r>
      <w:r>
        <w:rPr>
          <w:rFonts w:ascii="Consolas" w:hAnsi="Consolas"/>
          <w:color w:val="141B2B"/>
          <w:sz w:val="18"/>
        </w:rPr>
        <w:t>brut   = base + primes + somme des avantages (montant réel)</w:t>
      </w:r>
    </w:p>
    <w:p>
      <w:r>
        <w:rPr>
          <w:b w:val="0"/>
          <w:i w:val="0"/>
        </w:rPr>
        <w:t>Les statuts Stagiaire, Apprenti et Prestataire ont une base à zéro dès que le mois est incomplet : leur rémunération passe intégralement par les primes.</w:t>
      </w:r>
    </w:p>
    <w:p>
      <w:pPr>
        <w:spacing w:after="200"/>
      </w:pPr>
      <w:r>
        <w:rPr>
          <w:i/>
          <w:color w:val="6B7280"/>
          <w:sz w:val="18"/>
        </w:rPr>
        <w:t>Source : Employee.php, get_brut_salary(), ligne 188</w:t>
      </w:r>
    </w:p>
    <w:p>
      <w:pPr>
        <w:pStyle w:val="Heading2"/>
      </w:pPr>
      <w:r>
        <w:t>3.2 Brut imposable (SBI)</w:t>
      </w:r>
    </w:p>
    <w:p>
      <w:r>
        <w:rPr>
          <w:b w:val="0"/>
          <w:i w:val="0"/>
        </w:rPr>
        <w:t>Trois mécanismes d'exonération se combinent.</w:t>
      </w:r>
    </w:p>
    <w:p>
      <w:r>
        <w:rPr>
          <w:b/>
          <w:i w:val="0"/>
        </w:rPr>
        <w:t>a) Exonération totale</w:t>
      </w:r>
    </w:p>
    <w:p>
      <w:r>
        <w:rPr>
          <w:b w:val="0"/>
          <w:i w:val="0"/>
        </w:rPr>
        <w:t>Les primes dont le traitement fiscal commence par « exo 100 % » sortent entièrement de l'assiette, sauf la prime de transport, plafonnée selon la ville de la succursale puis de l'entreprise :</w:t>
      </w:r>
    </w:p>
    <w:tbl>
      <w:tblPr>
        <w:tblStyle w:val="TableGrid"/>
        <w:tblW w:type="auto" w:w="0"/>
        <w:jc w:val="left"/>
        <w:tblLook w:firstColumn="1" w:firstRow="1" w:lastColumn="0" w:lastRow="0" w:noHBand="0" w:noVBand="1" w:val="04A0"/>
      </w:tblPr>
      <w:tblGrid>
        <w:gridCol w:w="4873"/>
        <w:gridCol w:w="4873"/>
      </w:tblGrid>
      <w:tr>
        <w:tc>
          <w:tcPr>
            <w:tcW w:type="dxa" w:w="4535"/>
            <w:shd w:val="clear" w:fill="253E87"/>
          </w:tcPr>
          <w:p>
            <w:r/>
            <w:r>
              <w:rPr>
                <w:b/>
                <w:color w:val="FFFFFF"/>
                <w:sz w:val="19"/>
              </w:rPr>
              <w:t>Ville</w:t>
            </w:r>
          </w:p>
        </w:tc>
        <w:tc>
          <w:tcPr>
            <w:tcW w:type="dxa" w:w="4819"/>
            <w:shd w:val="clear" w:fill="253E87"/>
          </w:tcPr>
          <w:p>
            <w:r/>
            <w:r>
              <w:rPr>
                <w:b/>
                <w:color w:val="FFFFFF"/>
                <w:sz w:val="19"/>
              </w:rPr>
              <w:t>Plafond exonéré</w:t>
            </w:r>
          </w:p>
        </w:tc>
      </w:tr>
      <w:tr>
        <w:tc>
          <w:tcPr>
            <w:tcW w:type="dxa" w:w="4535"/>
          </w:tcPr>
          <w:p>
            <w:pPr>
              <w:spacing w:after="40"/>
            </w:pPr>
            <w:r/>
            <w:r>
              <w:rPr>
                <w:sz w:val="19"/>
              </w:rPr>
              <w:t>Abidjan (valeur par défaut)</w:t>
            </w:r>
          </w:p>
        </w:tc>
        <w:tc>
          <w:tcPr>
            <w:tcW w:type="dxa" w:w="4819"/>
          </w:tcPr>
          <w:p>
            <w:pPr>
              <w:spacing w:after="40"/>
            </w:pPr>
            <w:r/>
            <w:r>
              <w:rPr>
                <w:sz w:val="19"/>
              </w:rPr>
              <w:t>30 000</w:t>
            </w:r>
          </w:p>
        </w:tc>
      </w:tr>
      <w:tr>
        <w:tc>
          <w:tcPr>
            <w:tcW w:type="dxa" w:w="4535"/>
            <w:shd w:val="clear" w:fill="F7F8FC"/>
          </w:tcPr>
          <w:p>
            <w:pPr>
              <w:spacing w:after="40"/>
            </w:pPr>
            <w:r/>
            <w:r>
              <w:rPr>
                <w:sz w:val="19"/>
              </w:rPr>
              <w:t>Bouaké</w:t>
            </w:r>
          </w:p>
        </w:tc>
        <w:tc>
          <w:tcPr>
            <w:tcW w:type="dxa" w:w="4819"/>
            <w:shd w:val="clear" w:fill="F7F8FC"/>
          </w:tcPr>
          <w:p>
            <w:pPr>
              <w:spacing w:after="40"/>
            </w:pPr>
            <w:r/>
            <w:r>
              <w:rPr>
                <w:sz w:val="19"/>
              </w:rPr>
              <w:t>24 000</w:t>
            </w:r>
          </w:p>
        </w:tc>
      </w:tr>
      <w:tr>
        <w:tc>
          <w:tcPr>
            <w:tcW w:type="dxa" w:w="4535"/>
          </w:tcPr>
          <w:p>
            <w:pPr>
              <w:spacing w:after="40"/>
            </w:pPr>
            <w:r/>
            <w:r>
              <w:rPr>
                <w:sz w:val="19"/>
              </w:rPr>
              <w:t>Toute autre ville</w:t>
            </w:r>
          </w:p>
        </w:tc>
        <w:tc>
          <w:tcPr>
            <w:tcW w:type="dxa" w:w="4819"/>
          </w:tcPr>
          <w:p>
            <w:pPr>
              <w:spacing w:after="40"/>
            </w:pPr>
            <w:r/>
            <w:r>
              <w:rPr>
                <w:sz w:val="19"/>
              </w:rPr>
              <w:t>20 000</w:t>
            </w:r>
          </w:p>
        </w:tc>
      </w:tr>
    </w:tbl>
    <w:p>
      <w:pPr>
        <w:spacing w:after="40"/>
      </w:pPr>
    </w:p>
    <w:p>
      <w:r>
        <w:rPr>
          <w:b w:val="0"/>
          <w:i w:val="0"/>
        </w:rPr>
        <w:t>La fraction de transport au-delà du plafond reste imposable.</w:t>
      </w:r>
    </w:p>
    <w:p>
      <w:r>
        <w:rPr>
          <w:b/>
          <w:i w:val="0"/>
        </w:rPr>
        <w:t>b) Abattement de 10 %</w:t>
      </w:r>
    </w:p>
    <w:p>
      <w:pPr>
        <w:spacing w:before="80" w:after="160" w:line="240" w:lineRule="auto"/>
        <w:ind w:left="227"/>
        <w:shd w:val="clear" w:fill="F3F4F6"/>
      </w:pPr>
      <w:r>
        <w:rPr>
          <w:rFonts w:ascii="Consolas" w:hAnsi="Consolas"/>
          <w:color w:val="141B2B"/>
          <w:sz w:val="18"/>
        </w:rPr>
        <w:t>assiette  = brut hors avantages réels − (primes 111 + primes 126)</w:t>
        <w:br/>
      </w:r>
      <w:r>
        <w:rPr>
          <w:rFonts w:ascii="Consolas" w:hAnsi="Consolas"/>
          <w:color w:val="141B2B"/>
          <w:sz w:val="18"/>
        </w:rPr>
        <w:t>exo_10    = assiette × 10 %</w:t>
        <w:br/>
      </w:r>
      <w:r>
        <w:rPr>
          <w:rFonts w:ascii="Consolas" w:hAnsi="Consolas"/>
          <w:color w:val="141B2B"/>
          <w:sz w:val="18"/>
        </w:rPr>
        <w:t>déduction = min( somme des primes « exo 10 % » , exo_10 )</w:t>
      </w:r>
    </w:p>
    <w:p>
      <w:r>
        <w:rPr>
          <w:b w:val="0"/>
          <w:i w:val="0"/>
        </w:rPr>
        <w:t>La cantine est traitée à part : seule la fraction dépassant 30 000 rejoint les primes soumises à l'abattement de 10 %.</w:t>
      </w:r>
    </w:p>
    <w:p>
      <w:r>
        <w:rPr>
          <w:b/>
          <w:i w:val="0"/>
        </w:rPr>
        <w:t>c) Avantages</w:t>
      </w:r>
    </w:p>
    <w:p>
      <w:r>
        <w:rPr>
          <w:b w:val="0"/>
          <w:i w:val="0"/>
        </w:rPr>
        <w:t>Les avantages réels sont retirés du brut, puis on réintègre le montant barème pour les avantages en nature et le montant réel pour les avantages en argent.</w:t>
      </w:r>
    </w:p>
    <w:p>
      <w:pPr>
        <w:spacing w:before="80" w:after="160" w:line="240" w:lineRule="auto"/>
        <w:ind w:left="227"/>
        <w:shd w:val="clear" w:fill="F3F4F6"/>
      </w:pPr>
      <w:r>
        <w:rPr>
          <w:rFonts w:ascii="Consolas" w:hAnsi="Consolas"/>
          <w:color w:val="141B2B"/>
          <w:sz w:val="18"/>
        </w:rPr>
        <w:t>SBI = brut − avantages_réels</w:t>
        <w:br/>
      </w:r>
      <w:r>
        <w:rPr>
          <w:rFonts w:ascii="Consolas" w:hAnsi="Consolas"/>
          <w:color w:val="141B2B"/>
          <w:sz w:val="18"/>
        </w:rPr>
        <w:t xml:space="preserve">      − (exonérations_100 % + déduction_10 %)</w:t>
        <w:br/>
      </w:r>
      <w:r>
        <w:rPr>
          <w:rFonts w:ascii="Consolas" w:hAnsi="Consolas"/>
          <w:color w:val="141B2B"/>
          <w:sz w:val="18"/>
        </w:rPr>
        <w:t xml:space="preserve">      + barème_avantages_nature</w:t>
        <w:br/>
      </w:r>
      <w:r>
        <w:rPr>
          <w:rFonts w:ascii="Consolas" w:hAnsi="Consolas"/>
          <w:color w:val="141B2B"/>
          <w:sz w:val="18"/>
        </w:rPr>
        <w:t xml:space="preserve">      + réel_avantages_argent</w:t>
      </w:r>
    </w:p>
    <w:p>
      <w:r>
        <w:rPr>
          <w:b w:val="0"/>
          <w:i w:val="0"/>
        </w:rPr>
        <w:t>L'abattement forfaitaire de 20 % a été supprimé (réforme 2024) : il n'existe plus dans le code.</w:t>
      </w:r>
    </w:p>
    <w:p>
      <w:pPr>
        <w:spacing w:after="200"/>
      </w:pPr>
      <w:r>
        <w:rPr>
          <w:i/>
          <w:color w:val="6B7280"/>
          <w:sz w:val="18"/>
        </w:rPr>
        <w:t>Source : Employee.php, get_salary_imposable(), ligne 237</w:t>
      </w:r>
    </w:p>
    <w:p>
      <w:pPr>
        <w:pStyle w:val="Heading2"/>
      </w:pPr>
      <w:r>
        <w:t>3.3 Brut social (SBS)</w:t>
      </w:r>
    </w:p>
    <w:p>
      <w:r>
        <w:rPr>
          <w:b w:val="0"/>
          <w:i w:val="0"/>
        </w:rPr>
        <w:t>Les primes réglementées par la convention collective sont exonérées de CNPS jusqu'à un plafond calculé sur le SMIG horaire (75 000 / 173,33 = 432,7 FCFA) :</w:t>
      </w:r>
    </w:p>
    <w:tbl>
      <w:tblPr>
        <w:tblStyle w:val="TableGrid"/>
        <w:tblW w:type="auto" w:w="0"/>
        <w:jc w:val="left"/>
        <w:tblLook w:firstColumn="1" w:firstRow="1" w:lastColumn="0" w:lastRow="0" w:noHBand="0" w:noVBand="1" w:val="04A0"/>
      </w:tblPr>
      <w:tblGrid>
        <w:gridCol w:w="3249"/>
        <w:gridCol w:w="3249"/>
        <w:gridCol w:w="3249"/>
      </w:tblGrid>
      <w:tr>
        <w:tc>
          <w:tcPr>
            <w:tcW w:type="dxa" w:w="3402"/>
            <w:shd w:val="clear" w:fill="253E87"/>
          </w:tcPr>
          <w:p>
            <w:r/>
            <w:r>
              <w:rPr>
                <w:b/>
                <w:color w:val="FFFFFF"/>
                <w:sz w:val="19"/>
              </w:rPr>
              <w:t>Prime</w:t>
            </w:r>
          </w:p>
        </w:tc>
        <w:tc>
          <w:tcPr>
            <w:tcW w:type="dxa" w:w="3118"/>
            <w:shd w:val="clear" w:fill="253E87"/>
          </w:tcPr>
          <w:p>
            <w:r/>
            <w:r>
              <w:rPr>
                <w:b/>
                <w:color w:val="FFFFFF"/>
                <w:sz w:val="19"/>
              </w:rPr>
              <w:t>Plafond</w:t>
            </w:r>
          </w:p>
        </w:tc>
        <w:tc>
          <w:tcPr>
            <w:tcW w:type="dxa" w:w="2835"/>
            <w:shd w:val="clear" w:fill="253E87"/>
          </w:tcPr>
          <w:p>
            <w:r/>
            <w:r>
              <w:rPr>
                <w:b/>
                <w:color w:val="FFFFFF"/>
                <w:sz w:val="19"/>
              </w:rPr>
              <w:t>Montant exonéré</w:t>
            </w:r>
          </w:p>
        </w:tc>
      </w:tr>
      <w:tr>
        <w:tc>
          <w:tcPr>
            <w:tcW w:type="dxa" w:w="3402"/>
          </w:tcPr>
          <w:p>
            <w:pPr>
              <w:spacing w:after="40"/>
            </w:pPr>
            <w:r/>
            <w:r>
              <w:rPr>
                <w:sz w:val="19"/>
              </w:rPr>
              <w:t>Prime de panier</w:t>
            </w:r>
          </w:p>
        </w:tc>
        <w:tc>
          <w:tcPr>
            <w:tcW w:type="dxa" w:w="3118"/>
          </w:tcPr>
          <w:p>
            <w:pPr>
              <w:spacing w:after="40"/>
            </w:pPr>
            <w:r/>
            <w:r>
              <w:rPr>
                <w:sz w:val="19"/>
              </w:rPr>
              <w:t>3 heures de SMIG</w:t>
            </w:r>
          </w:p>
        </w:tc>
        <w:tc>
          <w:tcPr>
            <w:tcW w:type="dxa" w:w="2835"/>
          </w:tcPr>
          <w:p>
            <w:pPr>
              <w:spacing w:after="40"/>
            </w:pPr>
            <w:r/>
            <w:r>
              <w:rPr>
                <w:sz w:val="19"/>
              </w:rPr>
              <w:t>1 298</w:t>
            </w:r>
          </w:p>
        </w:tc>
      </w:tr>
      <w:tr>
        <w:tc>
          <w:tcPr>
            <w:tcW w:type="dxa" w:w="3402"/>
            <w:shd w:val="clear" w:fill="F7F8FC"/>
          </w:tcPr>
          <w:p>
            <w:pPr>
              <w:spacing w:after="40"/>
            </w:pPr>
            <w:r/>
            <w:r>
              <w:rPr>
                <w:sz w:val="19"/>
              </w:rPr>
              <w:t>Prime de salissure</w:t>
            </w:r>
          </w:p>
        </w:tc>
        <w:tc>
          <w:tcPr>
            <w:tcW w:type="dxa" w:w="3118"/>
            <w:shd w:val="clear" w:fill="F7F8FC"/>
          </w:tcPr>
          <w:p>
            <w:pPr>
              <w:spacing w:after="40"/>
            </w:pPr>
            <w:r/>
            <w:r>
              <w:rPr>
                <w:sz w:val="19"/>
              </w:rPr>
              <w:t>13 heures de SMIG</w:t>
            </w:r>
          </w:p>
        </w:tc>
        <w:tc>
          <w:tcPr>
            <w:tcW w:type="dxa" w:w="2835"/>
            <w:shd w:val="clear" w:fill="F7F8FC"/>
          </w:tcPr>
          <w:p>
            <w:pPr>
              <w:spacing w:after="40"/>
            </w:pPr>
            <w:r/>
            <w:r>
              <w:rPr>
                <w:sz w:val="19"/>
              </w:rPr>
              <w:t>5 625</w:t>
            </w:r>
          </w:p>
        </w:tc>
      </w:tr>
      <w:tr>
        <w:tc>
          <w:tcPr>
            <w:tcW w:type="dxa" w:w="3402"/>
          </w:tcPr>
          <w:p>
            <w:pPr>
              <w:spacing w:after="40"/>
            </w:pPr>
            <w:r/>
            <w:r>
              <w:rPr>
                <w:sz w:val="19"/>
              </w:rPr>
              <w:t>Prime d'outillage</w:t>
            </w:r>
          </w:p>
        </w:tc>
        <w:tc>
          <w:tcPr>
            <w:tcW w:type="dxa" w:w="3118"/>
          </w:tcPr>
          <w:p>
            <w:pPr>
              <w:spacing w:after="40"/>
            </w:pPr>
            <w:r/>
            <w:r>
              <w:rPr>
                <w:sz w:val="19"/>
              </w:rPr>
              <w:t>10 heures de SMIG</w:t>
            </w:r>
          </w:p>
        </w:tc>
        <w:tc>
          <w:tcPr>
            <w:tcW w:type="dxa" w:w="2835"/>
          </w:tcPr>
          <w:p>
            <w:pPr>
              <w:spacing w:after="40"/>
            </w:pPr>
            <w:r/>
            <w:r>
              <w:rPr>
                <w:sz w:val="19"/>
              </w:rPr>
              <w:t>4 327</w:t>
            </w:r>
          </w:p>
        </w:tc>
      </w:tr>
      <w:tr>
        <w:tc>
          <w:tcPr>
            <w:tcW w:type="dxa" w:w="3402"/>
            <w:shd w:val="clear" w:fill="F7F8FC"/>
          </w:tcPr>
          <w:p>
            <w:pPr>
              <w:spacing w:after="40"/>
            </w:pPr>
            <w:r/>
            <w:r>
              <w:rPr>
                <w:sz w:val="19"/>
              </w:rPr>
              <w:t>Prime de tenue de travail</w:t>
            </w:r>
          </w:p>
        </w:tc>
        <w:tc>
          <w:tcPr>
            <w:tcW w:type="dxa" w:w="3118"/>
            <w:shd w:val="clear" w:fill="F7F8FC"/>
          </w:tcPr>
          <w:p>
            <w:pPr>
              <w:spacing w:after="40"/>
            </w:pPr>
            <w:r/>
            <w:r>
              <w:rPr>
                <w:sz w:val="19"/>
              </w:rPr>
              <w:t>7 heures de SMIG</w:t>
            </w:r>
          </w:p>
        </w:tc>
        <w:tc>
          <w:tcPr>
            <w:tcW w:type="dxa" w:w="2835"/>
            <w:shd w:val="clear" w:fill="F7F8FC"/>
          </w:tcPr>
          <w:p>
            <w:pPr>
              <w:spacing w:after="40"/>
            </w:pPr>
            <w:r/>
            <w:r>
              <w:rPr>
                <w:sz w:val="19"/>
              </w:rPr>
              <w:t>3 029</w:t>
            </w:r>
          </w:p>
        </w:tc>
      </w:tr>
      <w:tr>
        <w:tc>
          <w:tcPr>
            <w:tcW w:type="dxa" w:w="3402"/>
          </w:tcPr>
          <w:p>
            <w:pPr>
              <w:spacing w:after="40"/>
            </w:pPr>
            <w:r/>
            <w:r>
              <w:rPr>
                <w:sz w:val="19"/>
              </w:rPr>
              <w:t>Prime de transport légale</w:t>
            </w:r>
          </w:p>
        </w:tc>
        <w:tc>
          <w:tcPr>
            <w:tcW w:type="dxa" w:w="3118"/>
          </w:tcPr>
          <w:p>
            <w:pPr>
              <w:spacing w:after="40"/>
            </w:pPr>
            <w:r/>
            <w:r>
              <w:rPr>
                <w:sz w:val="19"/>
              </w:rPr>
              <w:t>plafond fiscal de la ville</w:t>
            </w:r>
          </w:p>
        </w:tc>
        <w:tc>
          <w:tcPr>
            <w:tcW w:type="dxa" w:w="2835"/>
          </w:tcPr>
          <w:p>
            <w:pPr>
              <w:spacing w:after="40"/>
            </w:pPr>
            <w:r/>
            <w:r>
              <w:rPr>
                <w:sz w:val="19"/>
              </w:rPr>
              <w:t>30 000 / 24 000 / 20 000</w:t>
            </w:r>
          </w:p>
        </w:tc>
      </w:tr>
    </w:tbl>
    <w:p>
      <w:pPr>
        <w:spacing w:after="40"/>
      </w:pPr>
    </w:p>
    <w:p>
      <w:r>
        <w:rPr>
          <w:b w:val="0"/>
          <w:i w:val="0"/>
        </w:rPr>
        <w:t>Au-delà du plafond, la fraction excédentaire est soumise. Pour toutes les autres primes, l'exonération n'est reconnue que si le traitement CNPS contient explicitement « exo », « exonéré », « non soumis » ou « hors cnps ». Toute autre valeur, y compris une valeur vide ou une faute de frappe, est traitée comme soumise : le code choisit délibérément de ne jamais sous-déclarer l'assiette sociale.</w:t>
      </w:r>
    </w:p>
    <w:p>
      <w:pPr>
        <w:spacing w:before="80" w:after="160" w:line="240" w:lineRule="auto"/>
        <w:ind w:left="227"/>
        <w:shd w:val="clear" w:fill="F3F4F6"/>
      </w:pPr>
      <w:r>
        <w:rPr>
          <w:rFonts w:ascii="Consolas" w:hAnsi="Consolas"/>
          <w:color w:val="141B2B"/>
          <w:sz w:val="18"/>
        </w:rPr>
        <w:t>SBS = brut − exonérations + barème_avantages_nature + réel_avantages_argent</w:t>
        <w:br/>
      </w:r>
      <w:r>
        <w:rPr>
          <w:rFonts w:ascii="Consolas" w:hAnsi="Consolas"/>
          <w:color w:val="141B2B"/>
          <w:sz w:val="18"/>
        </w:rPr>
        <w:t>SBS plafonné à 3 375 000   (45 × SMIG mensuel)</w:t>
      </w:r>
    </w:p>
    <w:p>
      <w:pPr>
        <w:spacing w:after="200"/>
      </w:pPr>
      <w:r>
        <w:rPr>
          <w:i/>
          <w:color w:val="6B7280"/>
          <w:sz w:val="18"/>
        </w:rPr>
        <w:t>Source : Employee.php, get_salary_social(), ligne 348</w:t>
      </w:r>
    </w:p>
    <w:p>
      <w:r>
        <w:br w:type="page"/>
      </w:r>
    </w:p>
    <w:p>
      <w:pPr>
        <w:pStyle w:val="Heading1"/>
      </w:pPr>
      <w:r>
        <w:t>4. Retenues salariales</w:t>
      </w:r>
    </w:p>
    <w:p>
      <w:r>
        <w:rPr>
          <w:b w:val="0"/>
          <w:i w:val="0"/>
        </w:rPr>
        <w:t>Elles sont produites par getDefaultDeductionsDetails() et enregistrées par appliquerRetenuesLegales(), qui crée ou met à jour une ligne par code, pour un salarié et une période donnés.</w:t>
      </w:r>
    </w:p>
    <w:p>
      <w:pPr>
        <w:pStyle w:val="Heading2"/>
      </w:pPr>
      <w:r>
        <w:t>4.1 Impôt sur les traitements et salaires</w:t>
      </w:r>
    </w:p>
    <w:p>
      <w:r>
        <w:rPr>
          <w:b w:val="0"/>
          <w:i w:val="0"/>
        </w:rPr>
        <w:t>Le barème progressif mensuel s'applique au SBI ramené à 30 jours :</w:t>
      </w:r>
    </w:p>
    <w:p>
      <w:pPr>
        <w:spacing w:before="80" w:after="160" w:line="240" w:lineRule="auto"/>
        <w:ind w:left="227"/>
        <w:shd w:val="clear" w:fill="F3F4F6"/>
      </w:pPr>
      <w:r>
        <w:rPr>
          <w:rFonts w:ascii="Consolas" w:hAnsi="Consolas"/>
          <w:color w:val="141B2B"/>
          <w:sz w:val="18"/>
        </w:rPr>
        <w:t>base_mensuelle = SBI × 30 / jours</w:t>
      </w:r>
    </w:p>
    <w:tbl>
      <w:tblPr>
        <w:tblStyle w:val="TableGrid"/>
        <w:tblW w:type="auto" w:w="0"/>
        <w:jc w:val="left"/>
        <w:tblLook w:firstColumn="1" w:firstRow="1" w:lastColumn="0" w:lastRow="0" w:noHBand="0" w:noVBand="1" w:val="04A0"/>
      </w:tblPr>
      <w:tblGrid>
        <w:gridCol w:w="4873"/>
        <w:gridCol w:w="4873"/>
      </w:tblGrid>
      <w:tr>
        <w:tc>
          <w:tcPr>
            <w:tcW w:type="dxa" w:w="5669"/>
            <w:shd w:val="clear" w:fill="253E87"/>
          </w:tcPr>
          <w:p>
            <w:r/>
            <w:r>
              <w:rPr>
                <w:b/>
                <w:color w:val="FFFFFF"/>
                <w:sz w:val="19"/>
              </w:rPr>
              <w:t>Tranche de revenu mensuel</w:t>
            </w:r>
          </w:p>
        </w:tc>
        <w:tc>
          <w:tcPr>
            <w:tcW w:type="dxa" w:w="3685"/>
            <w:shd w:val="clear" w:fill="253E87"/>
          </w:tcPr>
          <w:p>
            <w:r/>
            <w:r>
              <w:rPr>
                <w:b/>
                <w:color w:val="FFFFFF"/>
                <w:sz w:val="19"/>
              </w:rPr>
              <w:t>Taux</w:t>
            </w:r>
          </w:p>
        </w:tc>
      </w:tr>
      <w:tr>
        <w:tc>
          <w:tcPr>
            <w:tcW w:type="dxa" w:w="5669"/>
          </w:tcPr>
          <w:p>
            <w:pPr>
              <w:spacing w:after="40"/>
            </w:pPr>
            <w:r/>
            <w:r>
              <w:rPr>
                <w:sz w:val="19"/>
              </w:rPr>
              <w:t>0 à 75 000</w:t>
            </w:r>
          </w:p>
        </w:tc>
        <w:tc>
          <w:tcPr>
            <w:tcW w:type="dxa" w:w="3685"/>
          </w:tcPr>
          <w:p>
            <w:pPr>
              <w:spacing w:after="40"/>
            </w:pPr>
            <w:r/>
            <w:r>
              <w:rPr>
                <w:sz w:val="19"/>
              </w:rPr>
              <w:t>0 %</w:t>
            </w:r>
          </w:p>
        </w:tc>
      </w:tr>
      <w:tr>
        <w:tc>
          <w:tcPr>
            <w:tcW w:type="dxa" w:w="5669"/>
            <w:shd w:val="clear" w:fill="F7F8FC"/>
          </w:tcPr>
          <w:p>
            <w:pPr>
              <w:spacing w:after="40"/>
            </w:pPr>
            <w:r/>
            <w:r>
              <w:rPr>
                <w:sz w:val="19"/>
              </w:rPr>
              <w:t>75 000 à 240 000</w:t>
            </w:r>
          </w:p>
        </w:tc>
        <w:tc>
          <w:tcPr>
            <w:tcW w:type="dxa" w:w="3685"/>
            <w:shd w:val="clear" w:fill="F7F8FC"/>
          </w:tcPr>
          <w:p>
            <w:pPr>
              <w:spacing w:after="40"/>
            </w:pPr>
            <w:r/>
            <w:r>
              <w:rPr>
                <w:sz w:val="19"/>
              </w:rPr>
              <w:t>16 %</w:t>
            </w:r>
          </w:p>
        </w:tc>
      </w:tr>
      <w:tr>
        <w:tc>
          <w:tcPr>
            <w:tcW w:type="dxa" w:w="5669"/>
          </w:tcPr>
          <w:p>
            <w:pPr>
              <w:spacing w:after="40"/>
            </w:pPr>
            <w:r/>
            <w:r>
              <w:rPr>
                <w:sz w:val="19"/>
              </w:rPr>
              <w:t>240 000 à 800 000</w:t>
            </w:r>
          </w:p>
        </w:tc>
        <w:tc>
          <w:tcPr>
            <w:tcW w:type="dxa" w:w="3685"/>
          </w:tcPr>
          <w:p>
            <w:pPr>
              <w:spacing w:after="40"/>
            </w:pPr>
            <w:r/>
            <w:r>
              <w:rPr>
                <w:sz w:val="19"/>
              </w:rPr>
              <w:t>21 %</w:t>
            </w:r>
          </w:p>
        </w:tc>
      </w:tr>
      <w:tr>
        <w:tc>
          <w:tcPr>
            <w:tcW w:type="dxa" w:w="5669"/>
            <w:shd w:val="clear" w:fill="F7F8FC"/>
          </w:tcPr>
          <w:p>
            <w:pPr>
              <w:spacing w:after="40"/>
            </w:pPr>
            <w:r/>
            <w:r>
              <w:rPr>
                <w:sz w:val="19"/>
              </w:rPr>
              <w:t>800 000 à 2 400 000</w:t>
            </w:r>
          </w:p>
        </w:tc>
        <w:tc>
          <w:tcPr>
            <w:tcW w:type="dxa" w:w="3685"/>
            <w:shd w:val="clear" w:fill="F7F8FC"/>
          </w:tcPr>
          <w:p>
            <w:pPr>
              <w:spacing w:after="40"/>
            </w:pPr>
            <w:r/>
            <w:r>
              <w:rPr>
                <w:sz w:val="19"/>
              </w:rPr>
              <w:t>24 %</w:t>
            </w:r>
          </w:p>
        </w:tc>
      </w:tr>
      <w:tr>
        <w:tc>
          <w:tcPr>
            <w:tcW w:type="dxa" w:w="5669"/>
          </w:tcPr>
          <w:p>
            <w:pPr>
              <w:spacing w:after="40"/>
            </w:pPr>
            <w:r/>
            <w:r>
              <w:rPr>
                <w:sz w:val="19"/>
              </w:rPr>
              <w:t>2 400 000 à 8 000 000</w:t>
            </w:r>
          </w:p>
        </w:tc>
        <w:tc>
          <w:tcPr>
            <w:tcW w:type="dxa" w:w="3685"/>
          </w:tcPr>
          <w:p>
            <w:pPr>
              <w:spacing w:after="40"/>
            </w:pPr>
            <w:r/>
            <w:r>
              <w:rPr>
                <w:sz w:val="19"/>
              </w:rPr>
              <w:t>28 %</w:t>
            </w:r>
          </w:p>
        </w:tc>
      </w:tr>
      <w:tr>
        <w:tc>
          <w:tcPr>
            <w:tcW w:type="dxa" w:w="5669"/>
            <w:shd w:val="clear" w:fill="F7F8FC"/>
          </w:tcPr>
          <w:p>
            <w:pPr>
              <w:spacing w:after="40"/>
            </w:pPr>
            <w:r/>
            <w:r>
              <w:rPr>
                <w:sz w:val="19"/>
              </w:rPr>
              <w:t>au-delà de 8 000 000</w:t>
            </w:r>
          </w:p>
        </w:tc>
        <w:tc>
          <w:tcPr>
            <w:tcW w:type="dxa" w:w="3685"/>
            <w:shd w:val="clear" w:fill="F7F8FC"/>
          </w:tcPr>
          <w:p>
            <w:pPr>
              <w:spacing w:after="40"/>
            </w:pPr>
            <w:r/>
            <w:r>
              <w:rPr>
                <w:sz w:val="19"/>
              </w:rPr>
              <w:t>32 %</w:t>
            </w:r>
          </w:p>
        </w:tc>
      </w:tr>
    </w:tbl>
    <w:p>
      <w:pPr>
        <w:spacing w:after="40"/>
      </w:pPr>
    </w:p>
    <w:p>
      <w:r>
        <w:rPr>
          <w:b w:val="0"/>
          <w:i w:val="0"/>
        </w:rPr>
        <w:t>L'impôt obtenu est ensuite reproratisé sur le mois réel :</w:t>
      </w:r>
    </w:p>
    <w:p>
      <w:pPr>
        <w:spacing w:before="80" w:after="160" w:line="240" w:lineRule="auto"/>
        <w:ind w:left="227"/>
        <w:shd w:val="clear" w:fill="F3F4F6"/>
      </w:pPr>
      <w:r>
        <w:rPr>
          <w:rFonts w:ascii="Consolas" w:hAnsi="Consolas"/>
          <w:color w:val="141B2B"/>
          <w:sz w:val="18"/>
        </w:rPr>
        <w:t>ITS brut (code 401) = ITS mensuel × jours / 30</w:t>
      </w:r>
    </w:p>
    <w:p>
      <w:r>
        <w:rPr>
          <w:b/>
          <w:i w:val="0"/>
        </w:rPr>
        <w:t>Réduction pour charges de famille (RICF), montants fixes du barème 2024 :</w:t>
      </w:r>
    </w:p>
    <w:tbl>
      <w:tblPr>
        <w:tblStyle w:val="TableGrid"/>
        <w:tblW w:type="auto" w:w="0"/>
        <w:jc w:val="left"/>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361"/>
            <w:shd w:val="clear" w:fill="253E87"/>
          </w:tcPr>
          <w:p>
            <w:r/>
            <w:r>
              <w:rPr>
                <w:b/>
                <w:color w:val="FFFFFF"/>
                <w:sz w:val="19"/>
              </w:rPr>
              <w:t>Parts</w:t>
            </w:r>
          </w:p>
        </w:tc>
        <w:tc>
          <w:tcPr>
            <w:tcW w:type="dxa" w:w="850"/>
            <w:shd w:val="clear" w:fill="253E87"/>
          </w:tcPr>
          <w:p>
            <w:r/>
            <w:r>
              <w:rPr>
                <w:b/>
                <w:color w:val="FFFFFF"/>
                <w:sz w:val="19"/>
              </w:rPr>
              <w:t>1</w:t>
            </w:r>
          </w:p>
        </w:tc>
        <w:tc>
          <w:tcPr>
            <w:tcW w:type="dxa" w:w="907"/>
            <w:shd w:val="clear" w:fill="253E87"/>
          </w:tcPr>
          <w:p>
            <w:r/>
            <w:r>
              <w:rPr>
                <w:b/>
                <w:color w:val="FFFFFF"/>
                <w:sz w:val="19"/>
              </w:rPr>
              <w:t>1,5</w:t>
            </w:r>
          </w:p>
        </w:tc>
        <w:tc>
          <w:tcPr>
            <w:tcW w:type="dxa" w:w="907"/>
            <w:shd w:val="clear" w:fill="253E87"/>
          </w:tcPr>
          <w:p>
            <w:r/>
            <w:r>
              <w:rPr>
                <w:b/>
                <w:color w:val="FFFFFF"/>
                <w:sz w:val="19"/>
              </w:rPr>
              <w:t>2</w:t>
            </w:r>
          </w:p>
        </w:tc>
        <w:tc>
          <w:tcPr>
            <w:tcW w:type="dxa" w:w="907"/>
            <w:shd w:val="clear" w:fill="253E87"/>
          </w:tcPr>
          <w:p>
            <w:r/>
            <w:r>
              <w:rPr>
                <w:b/>
                <w:color w:val="FFFFFF"/>
                <w:sz w:val="19"/>
              </w:rPr>
              <w:t>2,5</w:t>
            </w:r>
          </w:p>
        </w:tc>
        <w:tc>
          <w:tcPr>
            <w:tcW w:type="dxa" w:w="907"/>
            <w:shd w:val="clear" w:fill="253E87"/>
          </w:tcPr>
          <w:p>
            <w:r/>
            <w:r>
              <w:rPr>
                <w:b/>
                <w:color w:val="FFFFFF"/>
                <w:sz w:val="19"/>
              </w:rPr>
              <w:t>3</w:t>
            </w:r>
          </w:p>
        </w:tc>
        <w:tc>
          <w:tcPr>
            <w:tcW w:type="dxa" w:w="907"/>
            <w:shd w:val="clear" w:fill="253E87"/>
          </w:tcPr>
          <w:p>
            <w:r/>
            <w:r>
              <w:rPr>
                <w:b/>
                <w:color w:val="FFFFFF"/>
                <w:sz w:val="19"/>
              </w:rPr>
              <w:t>3,5</w:t>
            </w:r>
          </w:p>
        </w:tc>
        <w:tc>
          <w:tcPr>
            <w:tcW w:type="dxa" w:w="907"/>
            <w:shd w:val="clear" w:fill="253E87"/>
          </w:tcPr>
          <w:p>
            <w:r/>
            <w:r>
              <w:rPr>
                <w:b/>
                <w:color w:val="FFFFFF"/>
                <w:sz w:val="19"/>
              </w:rPr>
              <w:t>4</w:t>
            </w:r>
          </w:p>
        </w:tc>
        <w:tc>
          <w:tcPr>
            <w:tcW w:type="dxa" w:w="907"/>
            <w:shd w:val="clear" w:fill="253E87"/>
          </w:tcPr>
          <w:p>
            <w:r/>
            <w:r>
              <w:rPr>
                <w:b/>
                <w:color w:val="FFFFFF"/>
                <w:sz w:val="19"/>
              </w:rPr>
              <w:t>4,5</w:t>
            </w:r>
          </w:p>
        </w:tc>
        <w:tc>
          <w:tcPr>
            <w:tcW w:type="dxa" w:w="1077"/>
            <w:shd w:val="clear" w:fill="253E87"/>
          </w:tcPr>
          <w:p>
            <w:r/>
            <w:r>
              <w:rPr>
                <w:b/>
                <w:color w:val="FFFFFF"/>
                <w:sz w:val="19"/>
              </w:rPr>
              <w:t>5 et +</w:t>
            </w:r>
          </w:p>
        </w:tc>
      </w:tr>
      <w:tr>
        <w:tc>
          <w:tcPr>
            <w:tcW w:type="dxa" w:w="1361"/>
          </w:tcPr>
          <w:p>
            <w:pPr>
              <w:spacing w:after="40"/>
            </w:pPr>
            <w:r/>
            <w:r>
              <w:rPr>
                <w:sz w:val="19"/>
              </w:rPr>
              <w:t>Réduction</w:t>
            </w:r>
          </w:p>
        </w:tc>
        <w:tc>
          <w:tcPr>
            <w:tcW w:type="dxa" w:w="850"/>
          </w:tcPr>
          <w:p>
            <w:pPr>
              <w:spacing w:after="40"/>
            </w:pPr>
            <w:r/>
            <w:r>
              <w:rPr>
                <w:sz w:val="19"/>
              </w:rPr>
              <w:t>0</w:t>
            </w:r>
          </w:p>
        </w:tc>
        <w:tc>
          <w:tcPr>
            <w:tcW w:type="dxa" w:w="907"/>
          </w:tcPr>
          <w:p>
            <w:pPr>
              <w:spacing w:after="40"/>
            </w:pPr>
            <w:r/>
            <w:r>
              <w:rPr>
                <w:sz w:val="19"/>
              </w:rPr>
              <w:t>5 500</w:t>
            </w:r>
          </w:p>
        </w:tc>
        <w:tc>
          <w:tcPr>
            <w:tcW w:type="dxa" w:w="907"/>
          </w:tcPr>
          <w:p>
            <w:pPr>
              <w:spacing w:after="40"/>
            </w:pPr>
            <w:r/>
            <w:r>
              <w:rPr>
                <w:sz w:val="19"/>
              </w:rPr>
              <w:t>11 000</w:t>
            </w:r>
          </w:p>
        </w:tc>
        <w:tc>
          <w:tcPr>
            <w:tcW w:type="dxa" w:w="907"/>
          </w:tcPr>
          <w:p>
            <w:pPr>
              <w:spacing w:after="40"/>
            </w:pPr>
            <w:r/>
            <w:r>
              <w:rPr>
                <w:sz w:val="19"/>
              </w:rPr>
              <w:t>16 500</w:t>
            </w:r>
          </w:p>
        </w:tc>
        <w:tc>
          <w:tcPr>
            <w:tcW w:type="dxa" w:w="907"/>
          </w:tcPr>
          <w:p>
            <w:pPr>
              <w:spacing w:after="40"/>
            </w:pPr>
            <w:r/>
            <w:r>
              <w:rPr>
                <w:sz w:val="19"/>
              </w:rPr>
              <w:t>22 000</w:t>
            </w:r>
          </w:p>
        </w:tc>
        <w:tc>
          <w:tcPr>
            <w:tcW w:type="dxa" w:w="907"/>
          </w:tcPr>
          <w:p>
            <w:pPr>
              <w:spacing w:after="40"/>
            </w:pPr>
            <w:r/>
            <w:r>
              <w:rPr>
                <w:sz w:val="19"/>
              </w:rPr>
              <w:t>27 500</w:t>
            </w:r>
          </w:p>
        </w:tc>
        <w:tc>
          <w:tcPr>
            <w:tcW w:type="dxa" w:w="907"/>
          </w:tcPr>
          <w:p>
            <w:pPr>
              <w:spacing w:after="40"/>
            </w:pPr>
            <w:r/>
            <w:r>
              <w:rPr>
                <w:sz w:val="19"/>
              </w:rPr>
              <w:t>33 000</w:t>
            </w:r>
          </w:p>
        </w:tc>
        <w:tc>
          <w:tcPr>
            <w:tcW w:type="dxa" w:w="907"/>
          </w:tcPr>
          <w:p>
            <w:pPr>
              <w:spacing w:after="40"/>
            </w:pPr>
            <w:r/>
            <w:r>
              <w:rPr>
                <w:sz w:val="19"/>
              </w:rPr>
              <w:t>38 500</w:t>
            </w:r>
          </w:p>
        </w:tc>
        <w:tc>
          <w:tcPr>
            <w:tcW w:type="dxa" w:w="1077"/>
          </w:tcPr>
          <w:p>
            <w:pPr>
              <w:spacing w:after="40"/>
            </w:pPr>
            <w:r/>
            <w:r>
              <w:rPr>
                <w:sz w:val="19"/>
              </w:rPr>
              <w:t>44 000</w:t>
            </w:r>
          </w:p>
        </w:tc>
      </w:tr>
    </w:tbl>
    <w:p>
      <w:pPr>
        <w:spacing w:after="40"/>
      </w:pPr>
    </w:p>
    <w:p>
      <w:pPr>
        <w:spacing w:before="80" w:after="160" w:line="240" w:lineRule="auto"/>
        <w:ind w:left="227"/>
        <w:shd w:val="clear" w:fill="F3F4F6"/>
      </w:pPr>
      <w:r>
        <w:rPr>
          <w:rFonts w:ascii="Consolas" w:hAnsi="Consolas"/>
          <w:color w:val="141B2B"/>
          <w:sz w:val="18"/>
        </w:rPr>
        <w:t>RICF (code 402)      = valeur du barème × jours / 30</w:t>
        <w:br/>
      </w:r>
      <w:r>
        <w:rPr>
          <w:rFonts w:ascii="Consolas" w:hAnsi="Consolas"/>
          <w:color w:val="141B2B"/>
          <w:sz w:val="18"/>
        </w:rPr>
        <w:t>ITS net  (code 403)  = max( 0 ; ITS brut − RICF )</w:t>
      </w:r>
    </w:p>
    <w:p>
      <w:r>
        <w:rPr>
          <w:b w:val="0"/>
          <w:i w:val="0"/>
        </w:rPr>
        <w:t>Les trois lignes 401, 402 et 403 figurent sur le bulletin ; seule la 403 diminue le net à payer.</w:t>
      </w:r>
    </w:p>
    <w:p>
      <w:pPr>
        <w:pStyle w:val="Heading2"/>
      </w:pPr>
      <w:r>
        <w:t>4.2 Cotisation retraite CNPS — code 301</w:t>
      </w:r>
    </w:p>
    <w:p>
      <w:pPr>
        <w:spacing w:before="80" w:after="160" w:line="240" w:lineRule="auto"/>
        <w:ind w:left="227"/>
        <w:shd w:val="clear" w:fill="F3F4F6"/>
      </w:pPr>
      <w:r>
        <w:rPr>
          <w:rFonts w:ascii="Consolas" w:hAnsi="Consolas"/>
          <w:color w:val="141B2B"/>
          <w:sz w:val="18"/>
        </w:rPr>
        <w:t>base    = min( SBS ; 3 375 000 )</w:t>
        <w:br/>
      </w:r>
      <w:r>
        <w:rPr>
          <w:rFonts w:ascii="Consolas" w:hAnsi="Consolas"/>
          <w:color w:val="141B2B"/>
          <w:sz w:val="18"/>
        </w:rPr>
        <w:t>montant = base × 6,3 %</w:t>
      </w:r>
    </w:p>
    <w:p>
      <w:pPr>
        <w:pStyle w:val="Heading2"/>
      </w:pPr>
      <w:r>
        <w:t>4.3 Couverture maladie universelle — code 302</w:t>
      </w:r>
    </w:p>
    <w:p>
      <w:pPr>
        <w:spacing w:before="80" w:after="160" w:line="240" w:lineRule="auto"/>
        <w:ind w:left="227"/>
        <w:shd w:val="clear" w:fill="F3F4F6"/>
      </w:pPr>
      <w:r>
        <w:rPr>
          <w:rFonts w:ascii="Consolas" w:hAnsi="Consolas"/>
          <w:color w:val="141B2B"/>
          <w:sz w:val="18"/>
        </w:rPr>
        <w:t>n = nombre de bénéficiaires</w:t>
        <w:br/>
      </w:r>
      <w:r>
        <w:rPr>
          <w:rFonts w:ascii="Consolas" w:hAnsi="Consolas"/>
          <w:color w:val="141B2B"/>
          <w:sz w:val="18"/>
        </w:rPr>
        <w:t>n &lt; 7   -&gt;  n × 500</w:t>
        <w:br/>
      </w:r>
      <w:r>
        <w:rPr>
          <w:rFonts w:ascii="Consolas" w:hAnsi="Consolas"/>
          <w:color w:val="141B2B"/>
          <w:sz w:val="18"/>
        </w:rPr>
        <w:t>n &gt;= 7  -&gt;  3 000 + (n − 6) × 1 000</w:t>
      </w:r>
    </w:p>
    <w:p>
      <w:pPr>
        <w:pStyle w:val="Heading1"/>
      </w:pPr>
      <w:r>
        <w:t>5. Charges patronales</w:t>
      </w:r>
    </w:p>
    <w:p>
      <w:r>
        <w:rPr>
          <w:b w:val="0"/>
          <w:i w:val="0"/>
        </w:rPr>
        <w:t>Elles n'entrent pas dans le net du salarié : elles constituent le coût employeur, restitué par get_patronale() et par les déclarations sociales.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907"/>
            <w:shd w:val="clear" w:fill="253E87"/>
          </w:tcPr>
          <w:p>
            <w:r/>
            <w:r>
              <w:rPr>
                <w:b/>
                <w:color w:val="FFFFFF"/>
                <w:sz w:val="19"/>
              </w:rPr>
              <w:t>Code</w:t>
            </w:r>
          </w:p>
        </w:tc>
        <w:tc>
          <w:tcPr>
            <w:tcW w:type="dxa" w:w="3175"/>
            <w:shd w:val="clear" w:fill="253E87"/>
          </w:tcPr>
          <w:p>
            <w:r/>
            <w:r>
              <w:rPr>
                <w:b/>
                <w:color w:val="FFFFFF"/>
                <w:sz w:val="19"/>
              </w:rPr>
              <w:t>Libellé</w:t>
            </w:r>
          </w:p>
        </w:tc>
        <w:tc>
          <w:tcPr>
            <w:tcW w:type="dxa" w:w="2268"/>
            <w:shd w:val="clear" w:fill="253E87"/>
          </w:tcPr>
          <w:p>
            <w:r/>
            <w:r>
              <w:rPr>
                <w:b/>
                <w:color w:val="FFFFFF"/>
                <w:sz w:val="19"/>
              </w:rPr>
              <w:t>Base</w:t>
            </w:r>
          </w:p>
        </w:tc>
        <w:tc>
          <w:tcPr>
            <w:tcW w:type="dxa" w:w="3005"/>
            <w:shd w:val="clear" w:fill="253E87"/>
          </w:tcPr>
          <w:p>
            <w:r/>
            <w:r>
              <w:rPr>
                <w:b/>
                <w:color w:val="FFFFFF"/>
                <w:sz w:val="19"/>
              </w:rPr>
              <w:t>Taux</w:t>
            </w:r>
          </w:p>
        </w:tc>
      </w:tr>
      <w:tr>
        <w:tc>
          <w:tcPr>
            <w:tcW w:type="dxa" w:w="907"/>
          </w:tcPr>
          <w:p>
            <w:pPr>
              <w:spacing w:after="40"/>
            </w:pPr>
            <w:r/>
            <w:r>
              <w:rPr>
                <w:rFonts w:ascii="Consolas" w:hAnsi="Consolas"/>
                <w:color w:val="253E87"/>
                <w:sz w:val="18"/>
              </w:rPr>
              <w:t>308</w:t>
            </w:r>
          </w:p>
        </w:tc>
        <w:tc>
          <w:tcPr>
            <w:tcW w:type="dxa" w:w="3175"/>
          </w:tcPr>
          <w:p>
            <w:pPr>
              <w:spacing w:after="40"/>
            </w:pPr>
            <w:r/>
            <w:r>
              <w:rPr>
                <w:sz w:val="19"/>
              </w:rPr>
              <w:t>Cotisation retraite employeur</w:t>
            </w:r>
          </w:p>
        </w:tc>
        <w:tc>
          <w:tcPr>
            <w:tcW w:type="dxa" w:w="2268"/>
          </w:tcPr>
          <w:p>
            <w:pPr>
              <w:spacing w:after="40"/>
            </w:pPr>
            <w:r/>
            <w:r>
              <w:rPr>
                <w:sz w:val="19"/>
              </w:rPr>
              <w:t>min(SBS ; 3 375 000)</w:t>
            </w:r>
          </w:p>
        </w:tc>
        <w:tc>
          <w:tcPr>
            <w:tcW w:type="dxa" w:w="3005"/>
          </w:tcPr>
          <w:p>
            <w:pPr>
              <w:spacing w:after="40"/>
            </w:pPr>
            <w:r/>
            <w:r>
              <w:rPr>
                <w:sz w:val="19"/>
              </w:rPr>
              <w:t>7,7 %</w:t>
            </w:r>
          </w:p>
        </w:tc>
      </w:tr>
      <w:tr>
        <w:tc>
          <w:tcPr>
            <w:tcW w:type="dxa" w:w="907"/>
            <w:shd w:val="clear" w:fill="F7F8FC"/>
          </w:tcPr>
          <w:p>
            <w:pPr>
              <w:spacing w:after="40"/>
            </w:pPr>
            <w:r/>
            <w:r>
              <w:rPr>
                <w:rFonts w:ascii="Consolas" w:hAnsi="Consolas"/>
                <w:color w:val="253E87"/>
                <w:sz w:val="18"/>
              </w:rPr>
              <w:t>409</w:t>
            </w:r>
          </w:p>
        </w:tc>
        <w:tc>
          <w:tcPr>
            <w:tcW w:type="dxa" w:w="3175"/>
            <w:shd w:val="clear" w:fill="F7F8FC"/>
          </w:tcPr>
          <w:p>
            <w:pPr>
              <w:spacing w:after="40"/>
            </w:pPr>
            <w:r/>
            <w:r>
              <w:rPr>
                <w:sz w:val="19"/>
              </w:rPr>
              <w:t>Contribution nationale</w:t>
            </w:r>
          </w:p>
        </w:tc>
        <w:tc>
          <w:tcPr>
            <w:tcW w:type="dxa" w:w="2268"/>
            <w:shd w:val="clear" w:fill="F7F8FC"/>
          </w:tcPr>
          <w:p>
            <w:pPr>
              <w:spacing w:after="40"/>
            </w:pPr>
            <w:r/>
            <w:r>
              <w:rPr>
                <w:sz w:val="19"/>
              </w:rPr>
              <w:t>SBI</w:t>
            </w:r>
          </w:p>
        </w:tc>
        <w:tc>
          <w:tcPr>
            <w:tcW w:type="dxa" w:w="3005"/>
            <w:shd w:val="clear" w:fill="F7F8FC"/>
          </w:tcPr>
          <w:p>
            <w:pPr>
              <w:spacing w:after="40"/>
            </w:pPr>
            <w:r/>
            <w:r>
              <w:rPr>
                <w:sz w:val="19"/>
              </w:rPr>
              <w:t>1,2 %</w:t>
            </w:r>
          </w:p>
        </w:tc>
      </w:tr>
      <w:tr>
        <w:tc>
          <w:tcPr>
            <w:tcW w:type="dxa" w:w="907"/>
          </w:tcPr>
          <w:p>
            <w:pPr>
              <w:spacing w:after="40"/>
            </w:pPr>
            <w:r/>
            <w:r>
              <w:rPr>
                <w:rFonts w:ascii="Consolas" w:hAnsi="Consolas"/>
                <w:color w:val="253E87"/>
                <w:sz w:val="18"/>
              </w:rPr>
              <w:t>410</w:t>
            </w:r>
          </w:p>
        </w:tc>
        <w:tc>
          <w:tcPr>
            <w:tcW w:type="dxa" w:w="3175"/>
          </w:tcPr>
          <w:p>
            <w:pPr>
              <w:spacing w:after="40"/>
            </w:pPr>
            <w:r/>
            <w:r>
              <w:rPr>
                <w:sz w:val="19"/>
              </w:rPr>
              <w:t>Contribution employeur expatrié</w:t>
            </w:r>
          </w:p>
        </w:tc>
        <w:tc>
          <w:tcPr>
            <w:tcW w:type="dxa" w:w="2268"/>
          </w:tcPr>
          <w:p>
            <w:pPr>
              <w:spacing w:after="40"/>
            </w:pPr>
            <w:r/>
            <w:r>
              <w:rPr>
                <w:sz w:val="19"/>
              </w:rPr>
              <w:t>SBI</w:t>
            </w:r>
          </w:p>
        </w:tc>
        <w:tc>
          <w:tcPr>
            <w:tcW w:type="dxa" w:w="3005"/>
          </w:tcPr>
          <w:p>
            <w:pPr>
              <w:spacing w:after="40"/>
            </w:pPr>
            <w:r/>
            <w:r>
              <w:rPr>
                <w:sz w:val="19"/>
              </w:rPr>
              <w:t>9,2 % si le salarié n'est pas local</w:t>
            </w:r>
          </w:p>
        </w:tc>
      </w:tr>
      <w:tr>
        <w:tc>
          <w:tcPr>
            <w:tcW w:type="dxa" w:w="907"/>
            <w:shd w:val="clear" w:fill="F7F8FC"/>
          </w:tcPr>
          <w:p>
            <w:pPr>
              <w:spacing w:after="40"/>
            </w:pPr>
            <w:r/>
            <w:r>
              <w:rPr>
                <w:rFonts w:ascii="Consolas" w:hAnsi="Consolas"/>
                <w:color w:val="253E87"/>
                <w:sz w:val="18"/>
              </w:rPr>
              <w:t>411</w:t>
            </w:r>
          </w:p>
        </w:tc>
        <w:tc>
          <w:tcPr>
            <w:tcW w:type="dxa" w:w="3175"/>
            <w:shd w:val="clear" w:fill="F7F8FC"/>
          </w:tcPr>
          <w:p>
            <w:pPr>
              <w:spacing w:after="40"/>
            </w:pPr>
            <w:r/>
            <w:r>
              <w:rPr>
                <w:sz w:val="19"/>
              </w:rPr>
              <w:t>Taxe d'apprentissage</w:t>
            </w:r>
          </w:p>
        </w:tc>
        <w:tc>
          <w:tcPr>
            <w:tcW w:type="dxa" w:w="2268"/>
            <w:shd w:val="clear" w:fill="F7F8FC"/>
          </w:tcPr>
          <w:p>
            <w:pPr>
              <w:spacing w:after="40"/>
            </w:pPr>
            <w:r/>
            <w:r>
              <w:rPr>
                <w:sz w:val="19"/>
              </w:rPr>
              <w:t>SBI</w:t>
            </w:r>
          </w:p>
        </w:tc>
        <w:tc>
          <w:tcPr>
            <w:tcW w:type="dxa" w:w="3005"/>
            <w:shd w:val="clear" w:fill="F7F8FC"/>
          </w:tcPr>
          <w:p>
            <w:pPr>
              <w:spacing w:after="40"/>
            </w:pPr>
            <w:r/>
            <w:r>
              <w:rPr>
                <w:sz w:val="19"/>
              </w:rPr>
              <w:t>0,4 %</w:t>
            </w:r>
          </w:p>
        </w:tc>
      </w:tr>
      <w:tr>
        <w:tc>
          <w:tcPr>
            <w:tcW w:type="dxa" w:w="907"/>
          </w:tcPr>
          <w:p>
            <w:pPr>
              <w:spacing w:after="40"/>
            </w:pPr>
            <w:r/>
            <w:r>
              <w:rPr>
                <w:rFonts w:ascii="Consolas" w:hAnsi="Consolas"/>
                <w:color w:val="253E87"/>
                <w:sz w:val="18"/>
              </w:rPr>
              <w:t>412</w:t>
            </w:r>
          </w:p>
        </w:tc>
        <w:tc>
          <w:tcPr>
            <w:tcW w:type="dxa" w:w="3175"/>
          </w:tcPr>
          <w:p>
            <w:pPr>
              <w:spacing w:after="40"/>
            </w:pPr>
            <w:r/>
            <w:r>
              <w:rPr>
                <w:sz w:val="19"/>
              </w:rPr>
              <w:t>Taxe FPC</w:t>
            </w:r>
          </w:p>
        </w:tc>
        <w:tc>
          <w:tcPr>
            <w:tcW w:type="dxa" w:w="2268"/>
          </w:tcPr>
          <w:p>
            <w:pPr>
              <w:spacing w:after="40"/>
            </w:pPr>
            <w:r/>
            <w:r>
              <w:rPr>
                <w:sz w:val="19"/>
              </w:rPr>
              <w:t>SBI</w:t>
            </w:r>
          </w:p>
        </w:tc>
        <w:tc>
          <w:tcPr>
            <w:tcW w:type="dxa" w:w="3005"/>
          </w:tcPr>
          <w:p>
            <w:pPr>
              <w:spacing w:after="40"/>
            </w:pPr>
            <w:r/>
            <w:r>
              <w:rPr>
                <w:sz w:val="19"/>
              </w:rPr>
              <w:t>0,6 % par mois, régularisée annuellement (taux légal 1,2 %)</w:t>
            </w:r>
          </w:p>
        </w:tc>
      </w:tr>
      <w:tr>
        <w:tc>
          <w:tcPr>
            <w:tcW w:type="dxa" w:w="907"/>
            <w:shd w:val="clear" w:fill="F7F8FC"/>
          </w:tcPr>
          <w:p>
            <w:pPr>
              <w:spacing w:after="40"/>
            </w:pPr>
            <w:r/>
            <w:r>
              <w:rPr>
                <w:rFonts w:ascii="Consolas" w:hAnsi="Consolas"/>
                <w:color w:val="253E87"/>
                <w:sz w:val="18"/>
              </w:rPr>
              <w:t>305</w:t>
            </w:r>
          </w:p>
        </w:tc>
        <w:tc>
          <w:tcPr>
            <w:tcW w:type="dxa" w:w="3175"/>
            <w:shd w:val="clear" w:fill="F7F8FC"/>
          </w:tcPr>
          <w:p>
            <w:pPr>
              <w:spacing w:after="40"/>
            </w:pPr>
            <w:r/>
            <w:r>
              <w:rPr>
                <w:sz w:val="19"/>
              </w:rPr>
              <w:t>Accident de travail</w:t>
            </w:r>
          </w:p>
        </w:tc>
        <w:tc>
          <w:tcPr>
            <w:tcW w:type="dxa" w:w="2268"/>
            <w:shd w:val="clear" w:fill="F7F8FC"/>
          </w:tcPr>
          <w:p>
            <w:pPr>
              <w:spacing w:after="40"/>
            </w:pPr>
            <w:r/>
            <w:r>
              <w:rPr>
                <w:sz w:val="19"/>
              </w:rPr>
              <w:t>min(SBS ; 75 000)</w:t>
            </w:r>
          </w:p>
        </w:tc>
        <w:tc>
          <w:tcPr>
            <w:tcW w:type="dxa" w:w="3005"/>
            <w:shd w:val="clear" w:fill="F7F8FC"/>
          </w:tcPr>
          <w:p>
            <w:pPr>
              <w:spacing w:after="40"/>
            </w:pPr>
            <w:r/>
            <w:r>
              <w:rPr>
                <w:sz w:val="19"/>
              </w:rPr>
              <w:t>taux propre à l'entreprise, 3 % par défaut</w:t>
            </w:r>
          </w:p>
        </w:tc>
      </w:tr>
      <w:tr>
        <w:tc>
          <w:tcPr>
            <w:tcW w:type="dxa" w:w="907"/>
          </w:tcPr>
          <w:p>
            <w:pPr>
              <w:spacing w:after="40"/>
            </w:pPr>
            <w:r/>
            <w:r>
              <w:rPr>
                <w:rFonts w:ascii="Consolas" w:hAnsi="Consolas"/>
                <w:color w:val="253E87"/>
                <w:sz w:val="18"/>
              </w:rPr>
              <w:t>306</w:t>
            </w:r>
          </w:p>
        </w:tc>
        <w:tc>
          <w:tcPr>
            <w:tcW w:type="dxa" w:w="3175"/>
          </w:tcPr>
          <w:p>
            <w:pPr>
              <w:spacing w:after="40"/>
            </w:pPr>
            <w:r/>
            <w:r>
              <w:rPr>
                <w:sz w:val="19"/>
              </w:rPr>
              <w:t>Prestations familiales</w:t>
            </w:r>
          </w:p>
        </w:tc>
        <w:tc>
          <w:tcPr>
            <w:tcW w:type="dxa" w:w="2268"/>
          </w:tcPr>
          <w:p>
            <w:pPr>
              <w:spacing w:after="40"/>
            </w:pPr>
            <w:r/>
            <w:r>
              <w:rPr>
                <w:sz w:val="19"/>
              </w:rPr>
              <w:t>min(SBS ; 75 000)</w:t>
            </w:r>
          </w:p>
        </w:tc>
        <w:tc>
          <w:tcPr>
            <w:tcW w:type="dxa" w:w="3005"/>
          </w:tcPr>
          <w:p>
            <w:pPr>
              <w:spacing w:after="40"/>
            </w:pPr>
            <w:r/>
            <w:r>
              <w:rPr>
                <w:sz w:val="19"/>
              </w:rPr>
              <w:t>5,75 %</w:t>
            </w:r>
          </w:p>
        </w:tc>
      </w:tr>
      <w:tr>
        <w:tc>
          <w:tcPr>
            <w:tcW w:type="dxa" w:w="907"/>
            <w:shd w:val="clear" w:fill="F7F8FC"/>
          </w:tcPr>
          <w:p>
            <w:pPr>
              <w:spacing w:after="40"/>
            </w:pPr>
            <w:r/>
            <w:r>
              <w:rPr>
                <w:rFonts w:ascii="Consolas" w:hAnsi="Consolas"/>
                <w:color w:val="253E87"/>
                <w:sz w:val="18"/>
              </w:rPr>
              <w:t>307</w:t>
            </w:r>
          </w:p>
        </w:tc>
        <w:tc>
          <w:tcPr>
            <w:tcW w:type="dxa" w:w="3175"/>
            <w:shd w:val="clear" w:fill="F7F8FC"/>
          </w:tcPr>
          <w:p>
            <w:pPr>
              <w:spacing w:after="40"/>
            </w:pPr>
            <w:r/>
            <w:r>
              <w:rPr>
                <w:sz w:val="19"/>
              </w:rPr>
              <w:t>CMU employeur</w:t>
            </w:r>
          </w:p>
        </w:tc>
        <w:tc>
          <w:tcPr>
            <w:tcW w:type="dxa" w:w="2268"/>
            <w:shd w:val="clear" w:fill="F7F8FC"/>
          </w:tcPr>
          <w:p>
            <w:pPr>
              <w:spacing w:after="40"/>
            </w:pPr>
            <w:r/>
            <w:r>
              <w:rPr>
                <w:sz w:val="19"/>
              </w:rPr>
              <w:t>—</w:t>
            </w:r>
          </w:p>
        </w:tc>
        <w:tc>
          <w:tcPr>
            <w:tcW w:type="dxa" w:w="3005"/>
            <w:shd w:val="clear" w:fill="F7F8FC"/>
          </w:tcPr>
          <w:p>
            <w:pPr>
              <w:spacing w:after="40"/>
            </w:pPr>
            <w:r/>
            <w:r>
              <w:rPr>
                <w:sz w:val="19"/>
              </w:rPr>
              <w:t>n × 500 si n &lt; 7, sinon 3 000</w:t>
            </w:r>
          </w:p>
        </w:tc>
      </w:tr>
    </w:tbl>
    <w:p>
      <w:pPr>
        <w:spacing w:after="40"/>
      </w:pPr>
    </w:p>
    <w:p>
      <w:pPr>
        <w:spacing w:after="200"/>
      </w:pPr>
      <w:r>
        <w:rPr>
          <w:i/>
          <w:color w:val="6B7280"/>
          <w:sz w:val="18"/>
        </w:rPr>
        <w:t>Source : SalaryService.php, getDefaultDeductionsDetails(), ligne 223</w:t>
      </w:r>
    </w:p>
    <w:p>
      <w:pPr>
        <w:pStyle w:val="Heading1"/>
      </w:pPr>
      <w:r>
        <w:t>6. Autres retenues et régularisations</w:t>
      </w:r>
    </w:p>
    <w:tbl>
      <w:tblPr>
        <w:tblStyle w:val="TableGrid"/>
        <w:tblW w:type="auto" w:w="0"/>
        <w:jc w:val="left"/>
        <w:tblLook w:firstColumn="1" w:firstRow="1" w:lastColumn="0" w:lastRow="0" w:noHBand="0" w:noVBand="1" w:val="04A0"/>
      </w:tblPr>
      <w:tblGrid>
        <w:gridCol w:w="3249"/>
        <w:gridCol w:w="3249"/>
        <w:gridCol w:w="3249"/>
      </w:tblGrid>
      <w:tr>
        <w:tc>
          <w:tcPr>
            <w:tcW w:type="dxa" w:w="907"/>
            <w:shd w:val="clear" w:fill="253E87"/>
          </w:tcPr>
          <w:p>
            <w:r/>
            <w:r>
              <w:rPr>
                <w:b/>
                <w:color w:val="FFFFFF"/>
                <w:sz w:val="19"/>
              </w:rPr>
              <w:t>Code</w:t>
            </w:r>
          </w:p>
        </w:tc>
        <w:tc>
          <w:tcPr>
            <w:tcW w:type="dxa" w:w="1928"/>
            <w:shd w:val="clear" w:fill="253E87"/>
          </w:tcPr>
          <w:p>
            <w:r/>
            <w:r>
              <w:rPr>
                <w:b/>
                <w:color w:val="FFFFFF"/>
                <w:sz w:val="19"/>
              </w:rPr>
              <w:t>Origine</w:t>
            </w:r>
          </w:p>
        </w:tc>
        <w:tc>
          <w:tcPr>
            <w:tcW w:type="dxa" w:w="6520"/>
            <w:shd w:val="clear" w:fill="253E87"/>
          </w:tcPr>
          <w:p>
            <w:r/>
            <w:r>
              <w:rPr>
                <w:b/>
                <w:color w:val="FFFFFF"/>
                <w:sz w:val="19"/>
              </w:rPr>
              <w:t>Mécanisme</w:t>
            </w:r>
          </w:p>
        </w:tc>
      </w:tr>
      <w:tr>
        <w:tc>
          <w:tcPr>
            <w:tcW w:type="dxa" w:w="907"/>
          </w:tcPr>
          <w:p>
            <w:pPr>
              <w:spacing w:after="40"/>
            </w:pPr>
            <w:r/>
            <w:r>
              <w:rPr>
                <w:rFonts w:ascii="Consolas" w:hAnsi="Consolas"/>
                <w:color w:val="253E87"/>
                <w:sz w:val="18"/>
              </w:rPr>
              <w:t>500</w:t>
            </w:r>
          </w:p>
        </w:tc>
        <w:tc>
          <w:tcPr>
            <w:tcW w:type="dxa" w:w="1928"/>
          </w:tcPr>
          <w:p>
            <w:pPr>
              <w:spacing w:after="40"/>
            </w:pPr>
            <w:r/>
            <w:r>
              <w:rPr>
                <w:sz w:val="19"/>
              </w:rPr>
              <w:t>Prêts</w:t>
            </w:r>
          </w:p>
        </w:tc>
        <w:tc>
          <w:tcPr>
            <w:tcW w:type="dxa" w:w="6520"/>
          </w:tcPr>
          <w:p>
            <w:pPr>
              <w:spacing w:after="40"/>
            </w:pPr>
            <w:r/>
            <w:r>
              <w:rPr>
                <w:sz w:val="19"/>
              </w:rPr>
              <w:t>Chaque échéance appliquée crée simultanément un paiement de prêt et une retenue, dans une même transaction. L'opération est refusée si la période est validée, payée ou clôturée, ou si le bulletin est déjà généré.</w:t>
            </w:r>
          </w:p>
        </w:tc>
      </w:tr>
      <w:tr>
        <w:tc>
          <w:tcPr>
            <w:tcW w:type="dxa" w:w="907"/>
            <w:shd w:val="clear" w:fill="F7F8FC"/>
          </w:tcPr>
          <w:p>
            <w:pPr>
              <w:spacing w:after="40"/>
            </w:pPr>
            <w:r/>
            <w:r>
              <w:rPr>
                <w:rFonts w:ascii="Consolas" w:hAnsi="Consolas"/>
                <w:color w:val="253E87"/>
                <w:sz w:val="18"/>
              </w:rPr>
              <w:t>501</w:t>
            </w:r>
          </w:p>
        </w:tc>
        <w:tc>
          <w:tcPr>
            <w:tcW w:type="dxa" w:w="1928"/>
            <w:shd w:val="clear" w:fill="F7F8FC"/>
          </w:tcPr>
          <w:p>
            <w:pPr>
              <w:spacing w:after="40"/>
            </w:pPr>
            <w:r/>
            <w:r>
              <w:rPr>
                <w:sz w:val="19"/>
              </w:rPr>
              <w:t>Autres retenues</w:t>
            </w:r>
          </w:p>
        </w:tc>
        <w:tc>
          <w:tcPr>
            <w:tcW w:type="dxa" w:w="6520"/>
            <w:shd w:val="clear" w:fill="F7F8FC"/>
          </w:tcPr>
          <w:p>
            <w:pPr>
              <w:spacing w:after="40"/>
            </w:pPr>
            <w:r/>
            <w:r>
              <w:rPr>
                <w:sz w:val="19"/>
              </w:rPr>
              <w:t>Oppositions, saisies-arrêt, avis à tiers détenteur, prélèvements pour assurance. Prises en compte lorsque leur type vaut « add ».</w:t>
            </w:r>
          </w:p>
        </w:tc>
      </w:tr>
      <w:tr>
        <w:tc>
          <w:tcPr>
            <w:tcW w:type="dxa" w:w="907"/>
          </w:tcPr>
          <w:p>
            <w:pPr>
              <w:spacing w:after="40"/>
            </w:pPr>
            <w:r/>
            <w:r>
              <w:rPr>
                <w:rFonts w:ascii="Consolas" w:hAnsi="Consolas"/>
                <w:color w:val="253E87"/>
                <w:sz w:val="18"/>
              </w:rPr>
              <w:t>601</w:t>
            </w:r>
          </w:p>
        </w:tc>
        <w:tc>
          <w:tcPr>
            <w:tcW w:type="dxa" w:w="1928"/>
          </w:tcPr>
          <w:p>
            <w:pPr>
              <w:spacing w:after="40"/>
            </w:pPr>
            <w:r/>
            <w:r>
              <w:rPr>
                <w:sz w:val="19"/>
              </w:rPr>
              <w:t>Remboursements</w:t>
            </w:r>
          </w:p>
        </w:tc>
        <w:tc>
          <w:tcPr>
            <w:tcW w:type="dxa" w:w="6520"/>
          </w:tcPr>
          <w:p>
            <w:pPr>
              <w:spacing w:after="40"/>
            </w:pPr>
            <w:r/>
            <w:r>
              <w:rPr>
                <w:sz w:val="19"/>
              </w:rPr>
              <w:t>Ajoutés au net à payer, et non retranchés.</w:t>
            </w:r>
          </w:p>
        </w:tc>
      </w:tr>
      <w:tr>
        <w:tc>
          <w:tcPr>
            <w:tcW w:type="dxa" w:w="907"/>
            <w:shd w:val="clear" w:fill="F7F8FC"/>
          </w:tcPr>
          <w:p>
            <w:pPr>
              <w:spacing w:after="40"/>
            </w:pPr>
            <w:r/>
            <w:r>
              <w:rPr>
                <w:rFonts w:ascii="Consolas" w:hAnsi="Consolas"/>
                <w:color w:val="253E87"/>
                <w:sz w:val="18"/>
              </w:rPr>
              <w:t>131</w:t>
            </w:r>
          </w:p>
        </w:tc>
        <w:tc>
          <w:tcPr>
            <w:tcW w:type="dxa" w:w="1928"/>
            <w:shd w:val="clear" w:fill="F7F8FC"/>
          </w:tcPr>
          <w:p>
            <w:pPr>
              <w:spacing w:after="40"/>
            </w:pPr>
            <w:r/>
            <w:r>
              <w:rPr>
                <w:sz w:val="19"/>
              </w:rPr>
              <w:t>Cantine</w:t>
            </w:r>
          </w:p>
        </w:tc>
        <w:tc>
          <w:tcPr>
            <w:tcW w:type="dxa" w:w="6520"/>
            <w:shd w:val="clear" w:fill="F7F8FC"/>
          </w:tcPr>
          <w:p>
            <w:pPr>
              <w:spacing w:after="40"/>
            </w:pPr>
            <w:r/>
            <w:r>
              <w:rPr>
                <w:sz w:val="19"/>
              </w:rPr>
              <w:t>Part prise en charge par le salarié, déduite du net.</w:t>
            </w:r>
          </w:p>
        </w:tc>
      </w:tr>
    </w:tbl>
    <w:p>
      <w:pPr>
        <w:spacing w:after="40"/>
      </w:pPr>
    </w:p>
    <w:p>
      <w:r>
        <w:rPr>
          <w:b w:val="0"/>
          <w:i w:val="0"/>
        </w:rPr>
        <w:t>Une échéance de prêt peut être définie en montant fixe ou en pourcentage ; dans les deux cas, le champ amount_deduc porte le montant réellement retenu sur le mois.</w:t>
      </w:r>
    </w:p>
    <w:p>
      <w:pPr>
        <w:spacing w:after="200"/>
      </w:pPr>
      <w:r>
        <w:rPr>
          <w:i/>
          <w:color w:val="6B7280"/>
          <w:sz w:val="18"/>
        </w:rPr>
        <w:t>Source : PaieSalariesController.php, loanPaiement(), ligne 3744</w:t>
      </w:r>
    </w:p>
    <w:p>
      <w:pPr>
        <w:pStyle w:val="Heading1"/>
      </w:pPr>
      <w:r>
        <w:t>7. Le net à payer</w:t>
      </w:r>
    </w:p>
    <w:p>
      <w:r>
        <w:rPr>
          <w:b w:val="0"/>
          <w:i w:val="0"/>
        </w:rPr>
        <w:t>C'est la méthode get_net_salary() qui alimente le champ net_payble du bulletin :</w:t>
      </w:r>
    </w:p>
    <w:p>
      <w:pPr>
        <w:spacing w:before="80" w:after="160" w:line="240" w:lineRule="auto"/>
        <w:ind w:left="227"/>
        <w:shd w:val="clear" w:fill="F3F4F6"/>
      </w:pPr>
      <w:r>
        <w:rPr>
          <w:rFonts w:ascii="Consolas" w:hAnsi="Consolas"/>
          <w:color w:val="141B2B"/>
          <w:sz w:val="18"/>
        </w:rPr>
        <w:t>net = ( brut + remboursements_601 )</w:t>
        <w:br/>
      </w:r>
      <w:r>
        <w:rPr>
          <w:rFonts w:ascii="Consolas" w:hAnsi="Consolas"/>
          <w:color w:val="141B2B"/>
          <w:sz w:val="18"/>
        </w:rPr>
        <w:t xml:space="preserve">      − ( ITS_403 + CNPS_301 + CMU_302 )</w:t>
        <w:br/>
      </w:r>
      <w:r>
        <w:rPr>
          <w:rFonts w:ascii="Consolas" w:hAnsi="Consolas"/>
          <w:color w:val="141B2B"/>
          <w:sz w:val="18"/>
        </w:rPr>
        <w:t xml:space="preserve">      − avantages_réels</w:t>
        <w:br/>
      </w:r>
      <w:r>
        <w:rPr>
          <w:rFonts w:ascii="Consolas" w:hAnsi="Consolas"/>
          <w:color w:val="141B2B"/>
          <w:sz w:val="18"/>
        </w:rPr>
        <w:t xml:space="preserve">      − cantine_131</w:t>
        <w:br/>
      </w:r>
      <w:r>
        <w:rPr>
          <w:rFonts w:ascii="Consolas" w:hAnsi="Consolas"/>
          <w:color w:val="141B2B"/>
          <w:sz w:val="18"/>
        </w:rPr>
        <w:t xml:space="preserve">      − autres_retenues_501</w:t>
        <w:br/>
      </w:r>
      <w:r>
        <w:rPr>
          <w:rFonts w:ascii="Consolas" w:hAnsi="Consolas"/>
          <w:color w:val="141B2B"/>
          <w:sz w:val="18"/>
        </w:rPr>
        <w:t xml:space="preserve">      − prêts_500</w:t>
      </w:r>
    </w:p>
    <w:p>
      <w:r>
        <w:rPr>
          <w:b w:val="0"/>
          <w:i w:val="0"/>
        </w:rPr>
        <w:t>Si le nombre de jours travaillés est nul ou négatif, le net renvoyé est zéro.</w:t>
      </w:r>
    </w:p>
    <w:p>
      <w:pPr>
        <w:spacing w:after="200"/>
      </w:pPr>
      <w:r>
        <w:rPr>
          <w:i/>
          <w:color w:val="6B7280"/>
          <w:sz w:val="18"/>
        </w:rPr>
        <w:t>Source : Employee.php, get_net_salary(), ligne 487</w:t>
      </w:r>
    </w:p>
    <w:p>
      <w:r>
        <w:br w:type="page"/>
      </w:r>
    </w:p>
    <w:p>
      <w:pPr>
        <w:pStyle w:val="Heading1"/>
      </w:pPr>
      <w:r>
        <w:t>8. Calculs annexes</w:t>
      </w:r>
    </w:p>
    <w:p>
      <w:pPr>
        <w:pStyle w:val="Heading2"/>
      </w:pPr>
      <w:r>
        <w:t>8.1 Avantages en nature : barème logement</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041"/>
            <w:shd w:val="clear" w:fill="253E87"/>
          </w:tcPr>
          <w:p>
            <w:r/>
            <w:r>
              <w:rPr>
                <w:b/>
                <w:color w:val="FFFFFF"/>
                <w:sz w:val="19"/>
              </w:rPr>
              <w:t>Nombre de pièces</w:t>
            </w:r>
          </w:p>
        </w:tc>
        <w:tc>
          <w:tcPr>
            <w:tcW w:type="dxa" w:w="1871"/>
            <w:shd w:val="clear" w:fill="253E87"/>
          </w:tcPr>
          <w:p>
            <w:r/>
            <w:r>
              <w:rPr>
                <w:b/>
                <w:color w:val="FFFFFF"/>
                <w:sz w:val="19"/>
              </w:rPr>
              <w:t>Logement</w:t>
            </w:r>
          </w:p>
        </w:tc>
        <w:tc>
          <w:tcPr>
            <w:tcW w:type="dxa" w:w="1871"/>
            <w:shd w:val="clear" w:fill="253E87"/>
          </w:tcPr>
          <w:p>
            <w:r/>
            <w:r>
              <w:rPr>
                <w:b/>
                <w:color w:val="FFFFFF"/>
                <w:sz w:val="19"/>
              </w:rPr>
              <w:t>Mobilier</w:t>
            </w:r>
          </w:p>
        </w:tc>
        <w:tc>
          <w:tcPr>
            <w:tcW w:type="dxa" w:w="1871"/>
            <w:shd w:val="clear" w:fill="253E87"/>
          </w:tcPr>
          <w:p>
            <w:r/>
            <w:r>
              <w:rPr>
                <w:b/>
                <w:color w:val="FFFFFF"/>
                <w:sz w:val="19"/>
              </w:rPr>
              <w:t>Électricité</w:t>
            </w:r>
          </w:p>
        </w:tc>
        <w:tc>
          <w:tcPr>
            <w:tcW w:type="dxa" w:w="1701"/>
            <w:shd w:val="clear" w:fill="253E87"/>
          </w:tcPr>
          <w:p>
            <w:r/>
            <w:r>
              <w:rPr>
                <w:b/>
                <w:color w:val="FFFFFF"/>
                <w:sz w:val="19"/>
              </w:rPr>
              <w:t>Eau</w:t>
            </w:r>
          </w:p>
        </w:tc>
      </w:tr>
      <w:tr>
        <w:tc>
          <w:tcPr>
            <w:tcW w:type="dxa" w:w="2041"/>
          </w:tcPr>
          <w:p>
            <w:pPr>
              <w:spacing w:after="40"/>
            </w:pPr>
            <w:r/>
            <w:r>
              <w:rPr>
                <w:sz w:val="19"/>
              </w:rPr>
              <w:t>1</w:t>
            </w:r>
          </w:p>
        </w:tc>
        <w:tc>
          <w:tcPr>
            <w:tcW w:type="dxa" w:w="1871"/>
          </w:tcPr>
          <w:p>
            <w:pPr>
              <w:spacing w:after="40"/>
            </w:pPr>
            <w:r/>
            <w:r>
              <w:rPr>
                <w:sz w:val="19"/>
              </w:rPr>
              <w:t>60 000</w:t>
            </w:r>
          </w:p>
        </w:tc>
        <w:tc>
          <w:tcPr>
            <w:tcW w:type="dxa" w:w="1871"/>
          </w:tcPr>
          <w:p>
            <w:pPr>
              <w:spacing w:after="40"/>
            </w:pPr>
            <w:r/>
            <w:r>
              <w:rPr>
                <w:sz w:val="19"/>
              </w:rPr>
              <w:t>10 000</w:t>
            </w:r>
          </w:p>
        </w:tc>
        <w:tc>
          <w:tcPr>
            <w:tcW w:type="dxa" w:w="1871"/>
          </w:tcPr>
          <w:p>
            <w:pPr>
              <w:spacing w:after="40"/>
            </w:pPr>
            <w:r/>
            <w:r>
              <w:rPr>
                <w:sz w:val="19"/>
              </w:rPr>
              <w:t>10 000</w:t>
            </w:r>
          </w:p>
        </w:tc>
        <w:tc>
          <w:tcPr>
            <w:tcW w:type="dxa" w:w="1701"/>
          </w:tcPr>
          <w:p>
            <w:pPr>
              <w:spacing w:after="40"/>
            </w:pPr>
            <w:r/>
            <w:r>
              <w:rPr>
                <w:sz w:val="19"/>
              </w:rPr>
              <w:t>10 000</w:t>
            </w:r>
          </w:p>
        </w:tc>
      </w:tr>
      <w:tr>
        <w:tc>
          <w:tcPr>
            <w:tcW w:type="dxa" w:w="2041"/>
            <w:shd w:val="clear" w:fill="F7F8FC"/>
          </w:tcPr>
          <w:p>
            <w:pPr>
              <w:spacing w:after="40"/>
            </w:pPr>
            <w:r/>
            <w:r>
              <w:rPr>
                <w:sz w:val="19"/>
              </w:rPr>
              <w:t>2</w:t>
            </w:r>
          </w:p>
        </w:tc>
        <w:tc>
          <w:tcPr>
            <w:tcW w:type="dxa" w:w="1871"/>
            <w:shd w:val="clear" w:fill="F7F8FC"/>
          </w:tcPr>
          <w:p>
            <w:pPr>
              <w:spacing w:after="40"/>
            </w:pPr>
            <w:r/>
            <w:r>
              <w:rPr>
                <w:sz w:val="19"/>
              </w:rPr>
              <w:t>80 000</w:t>
            </w:r>
          </w:p>
        </w:tc>
        <w:tc>
          <w:tcPr>
            <w:tcW w:type="dxa" w:w="1871"/>
            <w:shd w:val="clear" w:fill="F7F8FC"/>
          </w:tcPr>
          <w:p>
            <w:pPr>
              <w:spacing w:after="40"/>
            </w:pPr>
            <w:r/>
            <w:r>
              <w:rPr>
                <w:sz w:val="19"/>
              </w:rPr>
              <w:t>20 000</w:t>
            </w:r>
          </w:p>
        </w:tc>
        <w:tc>
          <w:tcPr>
            <w:tcW w:type="dxa" w:w="1871"/>
            <w:shd w:val="clear" w:fill="F7F8FC"/>
          </w:tcPr>
          <w:p>
            <w:pPr>
              <w:spacing w:after="40"/>
            </w:pPr>
            <w:r/>
            <w:r>
              <w:rPr>
                <w:sz w:val="19"/>
              </w:rPr>
              <w:t>20 000</w:t>
            </w:r>
          </w:p>
        </w:tc>
        <w:tc>
          <w:tcPr>
            <w:tcW w:type="dxa" w:w="1701"/>
            <w:shd w:val="clear" w:fill="F7F8FC"/>
          </w:tcPr>
          <w:p>
            <w:pPr>
              <w:spacing w:after="40"/>
            </w:pPr>
            <w:r/>
            <w:r>
              <w:rPr>
                <w:sz w:val="19"/>
              </w:rPr>
              <w:t>15 000</w:t>
            </w:r>
          </w:p>
        </w:tc>
      </w:tr>
      <w:tr>
        <w:tc>
          <w:tcPr>
            <w:tcW w:type="dxa" w:w="2041"/>
          </w:tcPr>
          <w:p>
            <w:pPr>
              <w:spacing w:after="40"/>
            </w:pPr>
            <w:r/>
            <w:r>
              <w:rPr>
                <w:sz w:val="19"/>
              </w:rPr>
              <w:t>3</w:t>
            </w:r>
          </w:p>
        </w:tc>
        <w:tc>
          <w:tcPr>
            <w:tcW w:type="dxa" w:w="1871"/>
          </w:tcPr>
          <w:p>
            <w:pPr>
              <w:spacing w:after="40"/>
            </w:pPr>
            <w:r/>
            <w:r>
              <w:rPr>
                <w:sz w:val="19"/>
              </w:rPr>
              <w:t>160 000</w:t>
            </w:r>
          </w:p>
        </w:tc>
        <w:tc>
          <w:tcPr>
            <w:tcW w:type="dxa" w:w="1871"/>
          </w:tcPr>
          <w:p>
            <w:pPr>
              <w:spacing w:after="40"/>
            </w:pPr>
            <w:r/>
            <w:r>
              <w:rPr>
                <w:sz w:val="19"/>
              </w:rPr>
              <w:t>40 000</w:t>
            </w:r>
          </w:p>
        </w:tc>
        <w:tc>
          <w:tcPr>
            <w:tcW w:type="dxa" w:w="1871"/>
          </w:tcPr>
          <w:p>
            <w:pPr>
              <w:spacing w:after="40"/>
            </w:pPr>
            <w:r/>
            <w:r>
              <w:rPr>
                <w:sz w:val="19"/>
              </w:rPr>
              <w:t>30 000</w:t>
            </w:r>
          </w:p>
        </w:tc>
        <w:tc>
          <w:tcPr>
            <w:tcW w:type="dxa" w:w="1701"/>
          </w:tcPr>
          <w:p>
            <w:pPr>
              <w:spacing w:after="40"/>
            </w:pPr>
            <w:r/>
            <w:r>
              <w:rPr>
                <w:sz w:val="19"/>
              </w:rPr>
              <w:t>20 000</w:t>
            </w:r>
          </w:p>
        </w:tc>
      </w:tr>
      <w:tr>
        <w:tc>
          <w:tcPr>
            <w:tcW w:type="dxa" w:w="2041"/>
            <w:shd w:val="clear" w:fill="F7F8FC"/>
          </w:tcPr>
          <w:p>
            <w:pPr>
              <w:spacing w:after="40"/>
            </w:pPr>
            <w:r/>
            <w:r>
              <w:rPr>
                <w:sz w:val="19"/>
              </w:rPr>
              <w:t>4</w:t>
            </w:r>
          </w:p>
        </w:tc>
        <w:tc>
          <w:tcPr>
            <w:tcW w:type="dxa" w:w="1871"/>
            <w:shd w:val="clear" w:fill="F7F8FC"/>
          </w:tcPr>
          <w:p>
            <w:pPr>
              <w:spacing w:after="40"/>
            </w:pPr>
            <w:r/>
            <w:r>
              <w:rPr>
                <w:sz w:val="19"/>
              </w:rPr>
              <w:t>300 000</w:t>
            </w:r>
          </w:p>
        </w:tc>
        <w:tc>
          <w:tcPr>
            <w:tcW w:type="dxa" w:w="1871"/>
            <w:shd w:val="clear" w:fill="F7F8FC"/>
          </w:tcPr>
          <w:p>
            <w:pPr>
              <w:spacing w:after="40"/>
            </w:pPr>
            <w:r/>
            <w:r>
              <w:rPr>
                <w:sz w:val="19"/>
              </w:rPr>
              <w:t>60 000</w:t>
            </w:r>
          </w:p>
        </w:tc>
        <w:tc>
          <w:tcPr>
            <w:tcW w:type="dxa" w:w="1871"/>
            <w:shd w:val="clear" w:fill="F7F8FC"/>
          </w:tcPr>
          <w:p>
            <w:pPr>
              <w:spacing w:after="40"/>
            </w:pPr>
            <w:r/>
            <w:r>
              <w:rPr>
                <w:sz w:val="19"/>
              </w:rPr>
              <w:t>40 000</w:t>
            </w:r>
          </w:p>
        </w:tc>
        <w:tc>
          <w:tcPr>
            <w:tcW w:type="dxa" w:w="1701"/>
            <w:shd w:val="clear" w:fill="F7F8FC"/>
          </w:tcPr>
          <w:p>
            <w:pPr>
              <w:spacing w:after="40"/>
            </w:pPr>
            <w:r/>
            <w:r>
              <w:rPr>
                <w:sz w:val="19"/>
              </w:rPr>
              <w:t>30 000</w:t>
            </w:r>
          </w:p>
        </w:tc>
      </w:tr>
      <w:tr>
        <w:tc>
          <w:tcPr>
            <w:tcW w:type="dxa" w:w="2041"/>
          </w:tcPr>
          <w:p>
            <w:pPr>
              <w:spacing w:after="40"/>
            </w:pPr>
            <w:r/>
            <w:r>
              <w:rPr>
                <w:sz w:val="19"/>
              </w:rPr>
              <w:t>5</w:t>
            </w:r>
          </w:p>
        </w:tc>
        <w:tc>
          <w:tcPr>
            <w:tcW w:type="dxa" w:w="1871"/>
          </w:tcPr>
          <w:p>
            <w:pPr>
              <w:spacing w:after="40"/>
            </w:pPr>
            <w:r/>
            <w:r>
              <w:rPr>
                <w:sz w:val="19"/>
              </w:rPr>
              <w:t>480 000</w:t>
            </w:r>
          </w:p>
        </w:tc>
        <w:tc>
          <w:tcPr>
            <w:tcW w:type="dxa" w:w="1871"/>
          </w:tcPr>
          <w:p>
            <w:pPr>
              <w:spacing w:after="40"/>
            </w:pPr>
            <w:r/>
            <w:r>
              <w:rPr>
                <w:sz w:val="19"/>
              </w:rPr>
              <w:t>80 000</w:t>
            </w:r>
          </w:p>
        </w:tc>
        <w:tc>
          <w:tcPr>
            <w:tcW w:type="dxa" w:w="1871"/>
          </w:tcPr>
          <w:p>
            <w:pPr>
              <w:spacing w:after="40"/>
            </w:pPr>
            <w:r/>
            <w:r>
              <w:rPr>
                <w:sz w:val="19"/>
              </w:rPr>
              <w:t>50 000</w:t>
            </w:r>
          </w:p>
        </w:tc>
        <w:tc>
          <w:tcPr>
            <w:tcW w:type="dxa" w:w="1701"/>
          </w:tcPr>
          <w:p>
            <w:pPr>
              <w:spacing w:after="40"/>
            </w:pPr>
            <w:r/>
            <w:r>
              <w:rPr>
                <w:sz w:val="19"/>
              </w:rPr>
              <w:t>40 000</w:t>
            </w:r>
          </w:p>
        </w:tc>
      </w:tr>
      <w:tr>
        <w:tc>
          <w:tcPr>
            <w:tcW w:type="dxa" w:w="2041"/>
            <w:shd w:val="clear" w:fill="F7F8FC"/>
          </w:tcPr>
          <w:p>
            <w:pPr>
              <w:spacing w:after="40"/>
            </w:pPr>
            <w:r/>
            <w:r>
              <w:rPr>
                <w:sz w:val="19"/>
              </w:rPr>
              <w:t>6</w:t>
            </w:r>
          </w:p>
        </w:tc>
        <w:tc>
          <w:tcPr>
            <w:tcW w:type="dxa" w:w="1871"/>
            <w:shd w:val="clear" w:fill="F7F8FC"/>
          </w:tcPr>
          <w:p>
            <w:pPr>
              <w:spacing w:after="40"/>
            </w:pPr>
            <w:r/>
            <w:r>
              <w:rPr>
                <w:sz w:val="19"/>
              </w:rPr>
              <w:t>600 000</w:t>
            </w:r>
          </w:p>
        </w:tc>
        <w:tc>
          <w:tcPr>
            <w:tcW w:type="dxa" w:w="1871"/>
            <w:shd w:val="clear" w:fill="F7F8FC"/>
          </w:tcPr>
          <w:p>
            <w:pPr>
              <w:spacing w:after="40"/>
            </w:pPr>
            <w:r/>
            <w:r>
              <w:rPr>
                <w:sz w:val="19"/>
              </w:rPr>
              <w:t>100 000</w:t>
            </w:r>
          </w:p>
        </w:tc>
        <w:tc>
          <w:tcPr>
            <w:tcW w:type="dxa" w:w="1871"/>
            <w:shd w:val="clear" w:fill="F7F8FC"/>
          </w:tcPr>
          <w:p>
            <w:pPr>
              <w:spacing w:after="40"/>
            </w:pPr>
            <w:r/>
            <w:r>
              <w:rPr>
                <w:sz w:val="19"/>
              </w:rPr>
              <w:t>60 000</w:t>
            </w:r>
          </w:p>
        </w:tc>
        <w:tc>
          <w:tcPr>
            <w:tcW w:type="dxa" w:w="1701"/>
            <w:shd w:val="clear" w:fill="F7F8FC"/>
          </w:tcPr>
          <w:p>
            <w:pPr>
              <w:spacing w:after="40"/>
            </w:pPr>
            <w:r/>
            <w:r>
              <w:rPr>
                <w:sz w:val="19"/>
              </w:rPr>
              <w:t>50 000</w:t>
            </w:r>
          </w:p>
        </w:tc>
      </w:tr>
      <w:tr>
        <w:tc>
          <w:tcPr>
            <w:tcW w:type="dxa" w:w="2041"/>
          </w:tcPr>
          <w:p>
            <w:pPr>
              <w:spacing w:after="40"/>
            </w:pPr>
            <w:r/>
            <w:r>
              <w:rPr>
                <w:sz w:val="19"/>
              </w:rPr>
              <w:t>7 et plus</w:t>
            </w:r>
          </w:p>
        </w:tc>
        <w:tc>
          <w:tcPr>
            <w:tcW w:type="dxa" w:w="1871"/>
          </w:tcPr>
          <w:p>
            <w:pPr>
              <w:spacing w:after="40"/>
            </w:pPr>
            <w:r/>
            <w:r>
              <w:rPr>
                <w:sz w:val="19"/>
              </w:rPr>
              <w:t>800 000</w:t>
            </w:r>
          </w:p>
        </w:tc>
        <w:tc>
          <w:tcPr>
            <w:tcW w:type="dxa" w:w="1871"/>
          </w:tcPr>
          <w:p>
            <w:pPr>
              <w:spacing w:after="40"/>
            </w:pPr>
            <w:r/>
            <w:r>
              <w:rPr>
                <w:sz w:val="19"/>
              </w:rPr>
              <w:t>150 000</w:t>
            </w:r>
          </w:p>
        </w:tc>
        <w:tc>
          <w:tcPr>
            <w:tcW w:type="dxa" w:w="1871"/>
          </w:tcPr>
          <w:p>
            <w:pPr>
              <w:spacing w:after="40"/>
            </w:pPr>
            <w:r/>
            <w:r>
              <w:rPr>
                <w:sz w:val="19"/>
              </w:rPr>
              <w:t>70 000</w:t>
            </w:r>
          </w:p>
        </w:tc>
        <w:tc>
          <w:tcPr>
            <w:tcW w:type="dxa" w:w="1701"/>
          </w:tcPr>
          <w:p>
            <w:pPr>
              <w:spacing w:after="40"/>
            </w:pPr>
            <w:r/>
            <w:r>
              <w:rPr>
                <w:sz w:val="19"/>
              </w:rPr>
              <w:t>60 000</w:t>
            </w:r>
          </w:p>
        </w:tc>
      </w:tr>
    </w:tbl>
    <w:p>
      <w:pPr>
        <w:spacing w:after="40"/>
      </w:pPr>
    </w:p>
    <w:p>
      <w:r>
        <w:rPr>
          <w:b w:val="0"/>
          <w:i w:val="0"/>
        </w:rPr>
        <w:t>Domesticité : gardien ou jardinier 50 000, gens de maison 60 000, cuisinier 90 000.</w:t>
      </w:r>
    </w:p>
    <w:p>
      <w:r>
        <w:rPr>
          <w:b w:val="0"/>
          <w:i w:val="0"/>
        </w:rPr>
        <w:t>Le montant barème alimente l'assiette imposable des avantages en nature ; le montant réel est celui qui est effectivement retiré du net.</w:t>
      </w:r>
    </w:p>
    <w:p>
      <w:pPr>
        <w:spacing w:after="200"/>
      </w:pPr>
      <w:r>
        <w:rPr>
          <w:i/>
          <w:color w:val="6B7280"/>
          <w:sz w:val="18"/>
        </w:rPr>
        <w:t>Source : Modules/NatureAvantage/resources/views/create.blade.php, ligne 254</w:t>
      </w:r>
    </w:p>
    <w:p>
      <w:pPr>
        <w:pStyle w:val="Heading2"/>
      </w:pPr>
      <w:r>
        <w:t>8.2 Heures supplémentaires</w:t>
      </w:r>
    </w:p>
    <w:p>
      <w:pPr>
        <w:spacing w:before="80" w:after="160" w:line="240" w:lineRule="auto"/>
        <w:ind w:left="227"/>
        <w:shd w:val="clear" w:fill="F3F4F6"/>
      </w:pPr>
      <w:r>
        <w:rPr>
          <w:rFonts w:ascii="Consolas" w:hAnsi="Consolas"/>
          <w:color w:val="141B2B"/>
          <w:sz w:val="18"/>
        </w:rPr>
        <w:t>montant = somme( heures × taux horaire × coefficient )</w:t>
      </w:r>
    </w:p>
    <w:tbl>
      <w:tblPr>
        <w:tblStyle w:val="TableGrid"/>
        <w:tblW w:type="auto" w:w="0"/>
        <w:jc w:val="left"/>
        <w:tblLook w:firstColumn="1" w:firstRow="1" w:lastColumn="0" w:lastRow="0" w:noHBand="0" w:noVBand="1" w:val="04A0"/>
      </w:tblPr>
      <w:tblGrid>
        <w:gridCol w:w="4873"/>
        <w:gridCol w:w="4873"/>
      </w:tblGrid>
      <w:tr>
        <w:tc>
          <w:tcPr>
            <w:tcW w:type="dxa" w:w="6520"/>
            <w:shd w:val="clear" w:fill="253E87"/>
          </w:tcPr>
          <w:p>
            <w:r/>
            <w:r>
              <w:rPr>
                <w:b/>
                <w:color w:val="FFFFFF"/>
                <w:sz w:val="19"/>
              </w:rPr>
              <w:t>Nature des heures</w:t>
            </w:r>
          </w:p>
        </w:tc>
        <w:tc>
          <w:tcPr>
            <w:tcW w:type="dxa" w:w="2835"/>
            <w:shd w:val="clear" w:fill="253E87"/>
          </w:tcPr>
          <w:p>
            <w:r/>
            <w:r>
              <w:rPr>
                <w:b/>
                <w:color w:val="FFFFFF"/>
                <w:sz w:val="19"/>
              </w:rPr>
              <w:t>Majoration</w:t>
            </w:r>
          </w:p>
        </w:tc>
      </w:tr>
      <w:tr>
        <w:tc>
          <w:tcPr>
            <w:tcW w:type="dxa" w:w="6520"/>
          </w:tcPr>
          <w:p>
            <w:pPr>
              <w:spacing w:after="40"/>
            </w:pPr>
            <w:r/>
            <w:r>
              <w:rPr>
                <w:sz w:val="19"/>
              </w:rPr>
              <w:t>41ᵉ à 46ᵉ heure de la semaine</w:t>
            </w:r>
          </w:p>
        </w:tc>
        <w:tc>
          <w:tcPr>
            <w:tcW w:type="dxa" w:w="2835"/>
          </w:tcPr>
          <w:p>
            <w:pPr>
              <w:spacing w:after="40"/>
            </w:pPr>
            <w:r/>
            <w:r>
              <w:rPr>
                <w:sz w:val="19"/>
              </w:rPr>
              <w:t>+ 15 %</w:t>
            </w:r>
          </w:p>
        </w:tc>
      </w:tr>
      <w:tr>
        <w:tc>
          <w:tcPr>
            <w:tcW w:type="dxa" w:w="6520"/>
            <w:shd w:val="clear" w:fill="F7F8FC"/>
          </w:tcPr>
          <w:p>
            <w:pPr>
              <w:spacing w:after="40"/>
            </w:pPr>
            <w:r/>
            <w:r>
              <w:rPr>
                <w:sz w:val="19"/>
              </w:rPr>
              <w:t>47ᵉ à 55ᵉ heure de la semaine</w:t>
            </w:r>
          </w:p>
        </w:tc>
        <w:tc>
          <w:tcPr>
            <w:tcW w:type="dxa" w:w="2835"/>
            <w:shd w:val="clear" w:fill="F7F8FC"/>
          </w:tcPr>
          <w:p>
            <w:pPr>
              <w:spacing w:after="40"/>
            </w:pPr>
            <w:r/>
            <w:r>
              <w:rPr>
                <w:sz w:val="19"/>
              </w:rPr>
              <w:t>+ 50 %</w:t>
            </w:r>
          </w:p>
        </w:tc>
      </w:tr>
      <w:tr>
        <w:tc>
          <w:tcPr>
            <w:tcW w:type="dxa" w:w="6520"/>
          </w:tcPr>
          <w:p>
            <w:pPr>
              <w:spacing w:after="40"/>
            </w:pPr>
            <w:r/>
            <w:r>
              <w:rPr>
                <w:sz w:val="19"/>
              </w:rPr>
              <w:t>Heures de nuit un jour ouvrable, ou dimanche et jours fériés de jour</w:t>
            </w:r>
          </w:p>
        </w:tc>
        <w:tc>
          <w:tcPr>
            <w:tcW w:type="dxa" w:w="2835"/>
          </w:tcPr>
          <w:p>
            <w:pPr>
              <w:spacing w:after="40"/>
            </w:pPr>
            <w:r/>
            <w:r>
              <w:rPr>
                <w:sz w:val="19"/>
              </w:rPr>
              <w:t>+ 75 %</w:t>
            </w:r>
          </w:p>
        </w:tc>
      </w:tr>
      <w:tr>
        <w:tc>
          <w:tcPr>
            <w:tcW w:type="dxa" w:w="6520"/>
            <w:shd w:val="clear" w:fill="F7F8FC"/>
          </w:tcPr>
          <w:p>
            <w:pPr>
              <w:spacing w:after="40"/>
            </w:pPr>
            <w:r/>
            <w:r>
              <w:rPr>
                <w:sz w:val="19"/>
              </w:rPr>
              <w:t>Heures de nuit un dimanche ou un jour férié</w:t>
            </w:r>
          </w:p>
        </w:tc>
        <w:tc>
          <w:tcPr>
            <w:tcW w:type="dxa" w:w="2835"/>
            <w:shd w:val="clear" w:fill="F7F8FC"/>
          </w:tcPr>
          <w:p>
            <w:pPr>
              <w:spacing w:after="40"/>
            </w:pPr>
            <w:r/>
            <w:r>
              <w:rPr>
                <w:sz w:val="19"/>
              </w:rPr>
              <w:t>+ 100 %</w:t>
            </w:r>
          </w:p>
        </w:tc>
      </w:tr>
    </w:tbl>
    <w:p>
      <w:pPr>
        <w:spacing w:after="40"/>
      </w:pPr>
    </w:p>
    <w:p>
      <w:r>
        <w:rPr>
          <w:b w:val="0"/>
          <w:i w:val="0"/>
        </w:rPr>
        <w:t>Le serveur recalcule systématiquement le montant légal et journalise un avertissement lorsque le montant saisi s'en écarte de plus de 5 %.</w:t>
      </w:r>
    </w:p>
    <w:p>
      <w:pPr>
        <w:spacing w:after="200"/>
      </w:pPr>
      <w:r>
        <w:rPr>
          <w:i/>
          <w:color w:val="6B7280"/>
          <w:sz w:val="18"/>
        </w:rPr>
        <w:t>Source : Modules/Time/Http/Controllers/OvertimeController.php, ligne 140</w:t>
      </w:r>
    </w:p>
    <w:p>
      <w:pPr>
        <w:pStyle w:val="Heading2"/>
      </w:pPr>
      <w:r>
        <w:t>8.3 Rupture de contrat</w:t>
      </w:r>
    </w:p>
    <w:p>
      <w:r>
        <w:rPr>
          <w:b w:val="0"/>
          <w:i w:val="0"/>
        </w:rPr>
        <w:t>Le salaire moyen mensuel (SMM) est la moyenne des douze derniers bruts, ou le salaire courant à défaut d'historique.</w:t>
      </w:r>
    </w:p>
    <w:p>
      <w:r>
        <w:rPr>
          <w:b/>
          <w:i w:val="0"/>
        </w:rPr>
        <w:t>Préavis</w:t>
      </w:r>
    </w:p>
    <w:tbl>
      <w:tblPr>
        <w:tblStyle w:val="TableGrid"/>
        <w:tblW w:type="auto" w:w="0"/>
        <w:jc w:val="left"/>
        <w:tblLook w:firstColumn="1" w:firstRow="1" w:lastColumn="0" w:lastRow="0" w:noHBand="0" w:noVBand="1" w:val="04A0"/>
      </w:tblPr>
      <w:tblGrid>
        <w:gridCol w:w="4873"/>
        <w:gridCol w:w="4873"/>
      </w:tblGrid>
      <w:tr>
        <w:tc>
          <w:tcPr>
            <w:tcW w:type="dxa" w:w="5102"/>
            <w:shd w:val="clear" w:fill="253E87"/>
          </w:tcPr>
          <w:p>
            <w:r/>
            <w:r>
              <w:rPr>
                <w:b/>
                <w:color w:val="FFFFFF"/>
                <w:sz w:val="19"/>
              </w:rPr>
              <w:t>Situation</w:t>
            </w:r>
          </w:p>
        </w:tc>
        <w:tc>
          <w:tcPr>
            <w:tcW w:type="dxa" w:w="4252"/>
            <w:shd w:val="clear" w:fill="253E87"/>
          </w:tcPr>
          <w:p>
            <w:r/>
            <w:r>
              <w:rPr>
                <w:b/>
                <w:color w:val="FFFFFF"/>
                <w:sz w:val="19"/>
              </w:rPr>
              <w:t>Durée</w:t>
            </w:r>
          </w:p>
        </w:tc>
      </w:tr>
      <w:tr>
        <w:tc>
          <w:tcPr>
            <w:tcW w:type="dxa" w:w="5102"/>
          </w:tcPr>
          <w:p>
            <w:pPr>
              <w:spacing w:after="40"/>
            </w:pPr>
            <w:r/>
            <w:r>
              <w:rPr>
                <w:sz w:val="19"/>
              </w:rPr>
              <w:t>Cadre ou maîtrise (catégorie 6 et plus)</w:t>
            </w:r>
          </w:p>
        </w:tc>
        <w:tc>
          <w:tcPr>
            <w:tcW w:type="dxa" w:w="4252"/>
          </w:tcPr>
          <w:p>
            <w:pPr>
              <w:spacing w:after="40"/>
            </w:pPr>
            <w:r/>
            <w:r>
              <w:rPr>
                <w:sz w:val="19"/>
              </w:rPr>
              <w:t>3 mois, quelle que soit l'ancienneté</w:t>
            </w:r>
          </w:p>
        </w:tc>
      </w:tr>
      <w:tr>
        <w:tc>
          <w:tcPr>
            <w:tcW w:type="dxa" w:w="5102"/>
            <w:shd w:val="clear" w:fill="F7F8FC"/>
          </w:tcPr>
          <w:p>
            <w:pPr>
              <w:spacing w:after="40"/>
            </w:pPr>
            <w:r/>
            <w:r>
              <w:rPr>
                <w:sz w:val="19"/>
              </w:rPr>
              <w:t>Moins de 6 mois d'ancienneté</w:t>
            </w:r>
          </w:p>
        </w:tc>
        <w:tc>
          <w:tcPr>
            <w:tcW w:type="dxa" w:w="4252"/>
            <w:shd w:val="clear" w:fill="F7F8FC"/>
          </w:tcPr>
          <w:p>
            <w:pPr>
              <w:spacing w:after="40"/>
            </w:pPr>
            <w:r/>
            <w:r>
              <w:rPr>
                <w:sz w:val="19"/>
              </w:rPr>
              <w:t>8 jours</w:t>
            </w:r>
          </w:p>
        </w:tc>
      </w:tr>
      <w:tr>
        <w:tc>
          <w:tcPr>
            <w:tcW w:type="dxa" w:w="5102"/>
          </w:tcPr>
          <w:p>
            <w:pPr>
              <w:spacing w:after="40"/>
            </w:pPr>
            <w:r/>
            <w:r>
              <w:rPr>
                <w:sz w:val="19"/>
              </w:rPr>
              <w:t>De 6 à 12 mois</w:t>
            </w:r>
          </w:p>
        </w:tc>
        <w:tc>
          <w:tcPr>
            <w:tcW w:type="dxa" w:w="4252"/>
          </w:tcPr>
          <w:p>
            <w:pPr>
              <w:spacing w:after="40"/>
            </w:pPr>
            <w:r/>
            <w:r>
              <w:rPr>
                <w:sz w:val="19"/>
              </w:rPr>
              <w:t>15 jours</w:t>
            </w:r>
          </w:p>
        </w:tc>
      </w:tr>
      <w:tr>
        <w:tc>
          <w:tcPr>
            <w:tcW w:type="dxa" w:w="5102"/>
            <w:shd w:val="clear" w:fill="F7F8FC"/>
          </w:tcPr>
          <w:p>
            <w:pPr>
              <w:spacing w:after="40"/>
            </w:pPr>
            <w:r/>
            <w:r>
              <w:rPr>
                <w:sz w:val="19"/>
              </w:rPr>
              <w:t>Moins de 6 ans</w:t>
            </w:r>
          </w:p>
        </w:tc>
        <w:tc>
          <w:tcPr>
            <w:tcW w:type="dxa" w:w="4252"/>
            <w:shd w:val="clear" w:fill="F7F8FC"/>
          </w:tcPr>
          <w:p>
            <w:pPr>
              <w:spacing w:after="40"/>
            </w:pPr>
            <w:r/>
            <w:r>
              <w:rPr>
                <w:sz w:val="19"/>
              </w:rPr>
              <w:t>1 mois</w:t>
            </w:r>
          </w:p>
        </w:tc>
      </w:tr>
      <w:tr>
        <w:tc>
          <w:tcPr>
            <w:tcW w:type="dxa" w:w="5102"/>
          </w:tcPr>
          <w:p>
            <w:pPr>
              <w:spacing w:after="40"/>
            </w:pPr>
            <w:r/>
            <w:r>
              <w:rPr>
                <w:sz w:val="19"/>
              </w:rPr>
              <w:t>6 ans et plus</w:t>
            </w:r>
          </w:p>
        </w:tc>
        <w:tc>
          <w:tcPr>
            <w:tcW w:type="dxa" w:w="4252"/>
          </w:tcPr>
          <w:p>
            <w:pPr>
              <w:spacing w:after="40"/>
            </w:pPr>
            <w:r/>
            <w:r>
              <w:rPr>
                <w:sz w:val="19"/>
              </w:rPr>
              <w:t>2 mois</w:t>
            </w:r>
          </w:p>
        </w:tc>
      </w:tr>
    </w:tbl>
    <w:p>
      <w:pPr>
        <w:spacing w:after="40"/>
      </w:pPr>
    </w:p>
    <w:p>
      <w:pPr>
        <w:spacing w:before="80" w:after="160" w:line="240" w:lineRule="auto"/>
        <w:ind w:left="227"/>
        <w:shd w:val="clear" w:fill="F3F4F6"/>
      </w:pPr>
      <w:r>
        <w:rPr>
          <w:rFonts w:ascii="Consolas" w:hAnsi="Consolas"/>
          <w:color w:val="141B2B"/>
          <w:sz w:val="18"/>
        </w:rPr>
        <w:t>montant du préavis = SMM / 30 × durée en jours</w:t>
      </w:r>
    </w:p>
    <w:p>
      <w:r>
        <w:rPr>
          <w:b/>
          <w:i w:val="0"/>
        </w:rPr>
        <w:t>Indemnité de licenciement</w:t>
      </w:r>
    </w:p>
    <w:p>
      <w:pPr>
        <w:spacing w:before="80" w:after="160" w:line="240" w:lineRule="auto"/>
        <w:ind w:left="227"/>
        <w:shd w:val="clear" w:fill="F3F4F6"/>
      </w:pPr>
      <w:r>
        <w:rPr>
          <w:rFonts w:ascii="Consolas" w:hAnsi="Consolas"/>
          <w:color w:val="141B2B"/>
          <w:sz w:val="18"/>
        </w:rPr>
        <w:t>de 1 à 5 ans        :  SMM × 30 % × nombre d'années de la tranche</w:t>
        <w:br/>
      </w:r>
      <w:r>
        <w:rPr>
          <w:rFonts w:ascii="Consolas" w:hAnsi="Consolas"/>
          <w:color w:val="141B2B"/>
          <w:sz w:val="18"/>
        </w:rPr>
        <w:t>de 6 à 10 ans       :  SMM × 35 % × nombre d'années de la tranche</w:t>
        <w:br/>
      </w:r>
      <w:r>
        <w:rPr>
          <w:rFonts w:ascii="Consolas" w:hAnsi="Consolas"/>
          <w:color w:val="141B2B"/>
          <w:sz w:val="18"/>
        </w:rPr>
        <w:t>au-delà de 10 ans   :  SMM × 40 % × nombre d'années de la tranche</w:t>
      </w:r>
    </w:p>
    <w:p>
      <w:r>
        <w:rPr>
          <w:b w:val="0"/>
          <w:i w:val="0"/>
        </w:rPr>
        <w:t>Régime fiscal appliqué : indemnité inférieure ou égale à 75 000 totalement exonérée, sinon 50 % imposable à l'IRS.</w:t>
      </w:r>
    </w:p>
    <w:p>
      <w:r>
        <w:rPr>
          <w:b/>
          <w:i w:val="0"/>
        </w:rPr>
        <w:t>Solde de tout compte</w:t>
      </w:r>
    </w:p>
    <w:p>
      <w:pPr>
        <w:spacing w:before="80" w:after="160" w:line="240" w:lineRule="auto"/>
        <w:ind w:left="227"/>
        <w:shd w:val="clear" w:fill="F3F4F6"/>
      </w:pPr>
      <w:r>
        <w:rPr>
          <w:rFonts w:ascii="Consolas" w:hAnsi="Consolas"/>
          <w:color w:val="141B2B"/>
          <w:sz w:val="18"/>
        </w:rPr>
        <w:t>total = gratification + congés + préavis + aggravation</w:t>
        <w:br/>
      </w:r>
      <w:r>
        <w:rPr>
          <w:rFonts w:ascii="Consolas" w:hAnsi="Consolas"/>
          <w:color w:val="141B2B"/>
          <w:sz w:val="18"/>
        </w:rPr>
        <w:t xml:space="preserve">        + indemnité de licenciement + dommages et intérêts</w:t>
        <w:br/>
      </w:r>
      <w:r>
        <w:rPr>
          <w:rFonts w:ascii="Consolas" w:hAnsi="Consolas"/>
          <w:color w:val="141B2B"/>
          <w:sz w:val="18"/>
        </w:rPr>
        <w:t xml:space="preserve">      − ( CNPS + ITS + prêts )</w:t>
      </w:r>
    </w:p>
    <w:p>
      <w:pPr>
        <w:spacing w:after="200"/>
      </w:pPr>
      <w:r>
        <w:rPr>
          <w:i/>
          <w:color w:val="6B7280"/>
          <w:sz w:val="18"/>
        </w:rPr>
        <w:t>Source : Modules/Ruptures/Http/Controllers/RupturesController.php, lignes 602 et 669</w:t>
      </w:r>
    </w:p>
    <w:p>
      <w:pPr>
        <w:pStyle w:val="Heading2"/>
      </w:pPr>
      <w:r>
        <w:t>8.4 Allocation de congé</w:t>
      </w:r>
    </w:p>
    <w:p>
      <w:r>
        <w:rPr>
          <w:b w:val="0"/>
          <w:i w:val="0"/>
        </w:rPr>
        <w:t>Le montant n'est pas calculé automatiquement : il est saisi à l'activation du congé, puis injecté comme prime (option 23), traitée « exo 0 % » au fiscal et soumise à la CNPS. La désactivation retire la ligne de la paie, sauf si le bulletin de la période est déjà généré.</w:t>
      </w:r>
    </w:p>
    <w:p>
      <w:r>
        <w:br w:type="page"/>
      </w:r>
    </w:p>
    <w:p>
      <w:pPr>
        <w:pStyle w:val="Heading1"/>
      </w:pPr>
      <w:r>
        <w:t>9. Points d'attention relevés dans le code</w:t>
      </w:r>
    </w:p>
    <w:p>
      <w:r>
        <w:rPr>
          <w:b w:val="0"/>
          <w:i/>
          <w:color w:val="6B7280"/>
        </w:rPr>
        <w:t>Constats issus de la lecture du code, classés du plus structurant au plus anecdotique. Aucun n'a fait l'objet d'une correction à ce stade.</w:t>
      </w:r>
    </w:p>
    <w:p>
      <w:pPr>
        <w:pStyle w:val="Heading2"/>
      </w:pPr>
      <w:r>
        <w:t>9.1 Deux implémentations concurrentes du calcul des retenues</w:t>
      </w:r>
    </w:p>
    <w:p>
      <w:r>
        <w:rPr>
          <w:b w:val="0"/>
          <w:i w:val="0"/>
        </w:rPr>
        <w:t>La méthode update() du contrôleur de paie contient un calcul complet hérité, comprenant un barème journalier distinct (seuils 2 500, 8 000, 26 667, 80 000 et 266 667) et une RICF exprimée par jour (183, 367, 550 et suivants). Ce bloc écrit les montants dans la table des retenues, puis la méthode appelle appliquerRetenuesLegales() qui réécrit intégralement les mêmes lignes. Le calcul de référence est donc celui de SalaryService ; les quelque trois cents lignes qui le précèdent n'ont plus d'effet sur le résultat.</w:t>
      </w:r>
    </w:p>
    <w:p>
      <w:pPr>
        <w:spacing w:after="200"/>
      </w:pPr>
      <w:r>
        <w:rPr>
          <w:i/>
          <w:color w:val="6B7280"/>
          <w:sz w:val="18"/>
        </w:rPr>
        <w:t>Source : PaieSalariesController.php, update(), lignes 990 à 1382</w:t>
      </w:r>
    </w:p>
    <w:p>
      <w:pPr>
        <w:pStyle w:val="Heading2"/>
      </w:pPr>
      <w:r>
        <w:t>9.2 Condition inversée dans ce bloc hérité</w:t>
      </w:r>
    </w:p>
    <w:p>
      <w:r>
        <w:rPr>
          <w:b w:val="0"/>
          <w:i w:val="0"/>
        </w:rPr>
        <w:t>La contribution employeur expatrié (code 410) y est affectée lorsque le salarié est local, soit l'inverse de la règle. L'anomalie est sans conséquence puisque SalaryService repasse derrière avec la bonne condition, mais elle égare la lecture.</w:t>
      </w:r>
    </w:p>
    <w:p>
      <w:pPr>
        <w:pStyle w:val="Heading2"/>
      </w:pPr>
      <w:r>
        <w:t>9.3 Deux formules de net coexistent</w:t>
      </w:r>
    </w:p>
    <w:p>
      <w:r>
        <w:rPr>
          <w:b w:val="0"/>
          <w:i w:val="0"/>
        </w:rPr>
        <w:t>SalaryService::netSalary() n'est appelée nulle part : le net réellement enregistré vient de get_net_salary(). Les deux méthodes ne donnent pas le même résultat, la première retranchant la cantine et les avantages par l'intermédiaire de calculImpots(), la seconde ajoutant les remboursements.</w:t>
      </w:r>
    </w:p>
    <w:p>
      <w:pPr>
        <w:pStyle w:val="Heading2"/>
      </w:pPr>
      <w:r>
        <w:t>9.4 Code mort porteur de barèmes contradictoires</w:t>
      </w:r>
    </w:p>
    <w:p>
      <w:r>
        <w:rPr>
          <w:b w:val="0"/>
          <w:i w:val="0"/>
        </w:rPr>
        <w:t>app/Services/ImpotsService.php et app/Models/FiscalCalculation.php ne sont référencés nulle part. Le second contient un barème présenté comme ivoirien mais entièrement différent de celui appliqué (0 % jusqu'à 600 000, puis 10 %, 15 %, 25 % et 30 %). S'il venait à être branché, il produirait des résultats faux.</w:t>
      </w:r>
    </w:p>
    <w:p>
      <w:pPr>
        <w:pStyle w:val="Heading2"/>
      </w:pPr>
      <w:r>
        <w:t>9.5 Méthodes de calcul écrites mais jamais appelées</w:t>
      </w:r>
    </w:p>
    <w:p>
      <w:r>
        <w:rPr>
          <w:b w:val="0"/>
          <w:i w:val="0"/>
        </w:rPr>
        <w:t>Dans SalaryService : calculPrimeAnciennete(), calculAllocationConge(), calculIndemniteJournalier() et calculHeuresSupplementaires(). En conséquence, la prime d'ancienneté (2 % à 25 mois, puis 1 % par année supplémentaire, plafonnée à 25 %) n'est pas automatique et doit être saisie comme une prime ordinaire.</w:t>
      </w:r>
    </w:p>
    <w:p>
      <w:pPr>
        <w:pStyle w:val="Heading2"/>
      </w:pPr>
      <w:r>
        <w:t>9.6 Source des jours divergente entre bases et impôt</w:t>
      </w:r>
    </w:p>
    <w:p>
      <w:r>
        <w:rPr>
          <w:b w:val="0"/>
          <w:i w:val="0"/>
        </w:rPr>
        <w:t>Les bases imposable et sociale utilisent get_jours_work(), qui donne la priorité aux jours portés par la ligne de prime. Le calcul des retenues, lui, lit tax_payer_id directement. Le flux normal maintient les deux valeurs synchronisées ; une saisie qui les désaccorderait ferait proratiser l'impôt sur un nombre de jours différent de celui ayant servi au brut.</w:t>
      </w:r>
    </w:p>
    <w:p>
      <w:pPr>
        <w:pStyle w:val="Heading2"/>
      </w:pPr>
      <w:r>
        <w:t>9.7 Variable calculée puis abandonnée</w:t>
      </w:r>
    </w:p>
    <w:p>
      <w:r>
        <w:rPr>
          <w:b w:val="0"/>
          <w:i w:val="0"/>
        </w:rPr>
        <w:t>Dans get_salary_social(), la variable total_exo2 est alimentée avec un plafond de transport codé en dur à 30 000, non localisé, puis n'est jamais utilisée dans le résultat.</w:t>
      </w:r>
    </w:p>
    <w:p>
      <w:pPr>
        <w:pStyle w:val="Heading2"/>
      </w:pPr>
      <w:r>
        <w:t>9.8 Base affichée incohérente pour les taxes 411 et 412</w:t>
      </w:r>
    </w:p>
    <w:p>
      <w:r>
        <w:rPr>
          <w:b w:val="0"/>
          <w:i w:val="0"/>
        </w:rPr>
        <w:t>Le bloc hérité enregistre le SBS comme base de la taxe d'apprentissage et de la taxe FPC, alors que le montant est calculé sur le SBI. SalaryService rétablit le SBI des deux côtés.</w:t>
      </w:r>
    </w:p>
    <w:p/>
    <w:p>
      <w:r>
        <w:rPr>
          <w:b/>
          <w:i w:val="0"/>
        </w:rPr>
        <w:t>Priorité suggérée : traiter d'abord les points 9.1 et 9.3, qui sont ceux qui coûtent le plus cher en maintenance et en compréhension du système.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53E8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3E87"/>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53E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