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Name as it should appear on profile: </w:t>
      </w:r>
      <w:r w:rsidDel="00000000" w:rsidR="00000000" w:rsidRPr="00000000">
        <w:rPr>
          <w:rFonts w:ascii="Times New Roman" w:cs="Times New Roman" w:eastAsia="Times New Roman" w:hAnsi="Times New Roman"/>
          <w:b w:val="1"/>
          <w:bCs w:val="1"/>
          <w:sz w:val="24"/>
          <w:szCs w:val="24"/>
          <w:rtl w:val="0"/>
        </w:rPr>
        <w:t xml:space="preserve">Ms. Sakshi Madhyan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Designation: </w:t>
      </w:r>
      <w:r w:rsidDel="00000000" w:rsidR="00000000" w:rsidRPr="00000000">
        <w:rPr>
          <w:rFonts w:ascii="Times New Roman" w:cs="Times New Roman" w:eastAsia="Times New Roman" w:hAnsi="Times New Roman"/>
          <w:b w:val="1"/>
          <w:bCs w:val="1"/>
          <w:sz w:val="24"/>
          <w:szCs w:val="24"/>
          <w:rtl w:val="0"/>
        </w:rPr>
        <w:t xml:space="preserve">Assistant Professor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Qualifications:</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Currently  Pursuing Ph.D. (HRM)</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MBA (Finance)</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BBA (Finance)</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Areas: Commerce and Management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Areas: </w:t>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Management</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Managerial Accounting </w:t>
      </w:r>
    </w:p>
    <w:p w:rsidR="00000000" w:rsidDel="00000000" w:rsidP="00000000" w:rsidRDefault="00000000" w:rsidRPr="00000000" w14:paraId="0000000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Trends and Cases in Finance</w:t>
      </w:r>
    </w:p>
    <w:p w:rsidR="00000000" w:rsidDel="00000000" w:rsidP="00000000" w:rsidRDefault="00000000" w:rsidRPr="00000000" w14:paraId="0000000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p w:rsidR="00000000" w:rsidDel="00000000" w:rsidP="00000000" w:rsidRDefault="00000000" w:rsidRPr="00000000" w14:paraId="0000001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Banking</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Organisational Behaviour</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Management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Profile: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ORCID ID: 0009-0003-1308-9163</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Google Scholar Link: N.A.</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Scopus ID: N.A.</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Papers Published: </w:t>
      </w:r>
    </w:p>
    <w:p w:rsidR="00000000" w:rsidDel="00000000" w:rsidP="00000000" w:rsidRDefault="00000000" w:rsidRPr="00000000" w14:paraId="0000001B">
      <w:pPr>
        <w:numPr>
          <w:ilvl w:val="0"/>
          <w:numId w:val="1"/>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Role of CSR in Promoting Employee Engagement and Ethical Work Culture” at the International Webinar organised by KJ’s Trinity Institute of Management and Research, Pune on 8th November, 2025.</w:t>
      </w:r>
    </w:p>
    <w:p w:rsidR="00000000" w:rsidDel="00000000" w:rsidP="00000000" w:rsidRDefault="00000000" w:rsidRPr="00000000" w14:paraId="0000001C">
      <w:pPr>
        <w:shd w:fill="ffffff" w:val="clear"/>
        <w:ind w:left="72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D">
      <w:pPr>
        <w:numPr>
          <w:ilvl w:val="0"/>
          <w:numId w:val="1"/>
        </w:numPr>
        <w:shd w:fill="ffffff" w:val="clear"/>
        <w:spacing w:after="20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Study of Work-Life Balance Among Working Women in the Indian Corporate Sector” at the National Seminar organised by BPHES CSRD-ISWR on 23rd–24th January, 2026.</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Books Published: N.A.</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 Chapters Published: N.A.</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Sponsored Research Projects: N.A.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Guidance: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Ph.D. Awarded: N.A.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Ph.D. Scholars in Process: N.A.</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Id: madhyansakshi.08@gmail.com</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background, Research Interests &amp; Expertise: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an Assistant Professor with an MBA specializing in Finance and I am currently pursuing Ph.D. at BPHES IMSCDR, (Affiliated to Savitribai Phule Pune University). My research focuses on Sustainable Human Resource Management (HRM) practices and Employee Engagement in Small and Medium Enterprises (SMEs). My academic interests include Human Resource Management, Organizational Behaviour, Financial Management andCurrent Trends and Cases in Finance. I teach courses in both Human Resource Management and Finance, integrating theoretical concepts with practical applications. I adopt innovative teaching methodologies such as case studies, role plays, flipped classrooms, and experiential learning to enhance student engagement. I have also presented Research Papers at National and International Conferences and actively participate in Faculty Development Programmes, workshops and seminars to continuously strengthen my academic and professional expertise.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