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40CE670">
      <w:pPr>
        <w:pStyle w:val="139"/>
        <w:pBdr/>
        <w:spacing/>
        <w:ind/>
        <w:jc w:val="center"/>
        <w:rPr>
          <w:rFonts w:ascii="Times New Roman" w:hAnsi="Times New Roman" w:cs="Times New Roman"/>
          <w:b/>
          <w:bCs/>
          <w:color w:val="ff0000"/>
          <w:sz w:val="44"/>
          <w:szCs w:val="44"/>
          <w:highlight w:val="none"/>
        </w:rPr>
      </w:pPr>
      <w:r>
        <w:rPr>
          <w:rFonts w:ascii="Times New Roman" w:hAnsi="Times New Roman" w:eastAsia="Times New Roman" w:cs="Times New Roman"/>
          <w:b/>
          <w:bCs/>
          <w:color w:val="ff0000"/>
          <w:sz w:val="44"/>
          <w:szCs w:val="44"/>
          <w:highlight w:val="none"/>
        </w:rPr>
      </w:r>
      <w:r>
        <w:rPr>
          <w:rFonts w:ascii="Times New Roman" w:hAnsi="Times New Roman" w:eastAsia="Times New Roman" w:cs="Times New Roman"/>
          <w:b/>
          <w:bCs/>
          <w:color w:val="ff0000"/>
          <w:sz w:val="44"/>
          <w:szCs w:val="44"/>
          <w:highlight w:val="none"/>
        </w:rPr>
        <w:t xml:space="preserve">Exercise 04</w:t>
      </w:r>
      <w:r>
        <w:rPr>
          <w:rFonts w:ascii="Times New Roman" w:hAnsi="Times New Roman" w:eastAsia="Times New Roman" w:cs="Times New Roman"/>
          <w:b/>
          <w:bCs/>
          <w:color w:val="ff0000"/>
          <w:sz w:val="44"/>
          <w:szCs w:val="44"/>
          <w:highlight w:val="none"/>
        </w:rPr>
      </w:r>
    </w:p>
    <w:p>
      <w:pPr>
        <w:pStyle w:val="140"/>
        <w:pBdr/>
        <w:spacing/>
        <w:ind/>
        <w:rPr>
          <w:rFonts w:ascii="Times New Roman" w:hAnsi="Times New Roman" w:cs="Times New Roman"/>
          <w:b w:val="0"/>
          <w:bCs w:val="0"/>
          <w:color w:val="ff0000"/>
          <w:sz w:val="36"/>
          <w:szCs w:val="36"/>
          <w:highlight w:val="none"/>
          <w:u w:val="single"/>
        </w:rPr>
      </w:pPr>
      <w:r>
        <w:rPr>
          <w:rFonts w:ascii="Times New Roman" w:hAnsi="Times New Roman" w:eastAsia="Times New Roman" w:cs="Times New Roman"/>
          <w:b w:val="0"/>
          <w:bCs w:val="0"/>
          <w:color w:val="ff0000"/>
          <w:sz w:val="36"/>
          <w:szCs w:val="36"/>
          <w:u w:val="single"/>
        </w:rPr>
        <w:t xml:space="preserve">Phần 1: So sánh toán tử &gt; và &gt;&gt; (cùng lệnh Out-File và Add-Content)</w:t>
      </w:r>
      <w:r>
        <w:rPr>
          <w:rFonts w:ascii="Times New Roman" w:hAnsi="Times New Roman" w:eastAsia="Times New Roman" w:cs="Times New Roman"/>
          <w:b w:val="0"/>
          <w:bCs w:val="0"/>
          <w:color w:val="ff0000"/>
          <w:sz w:val="36"/>
          <w:szCs w:val="36"/>
          <w:u w:val="single"/>
        </w:rPr>
      </w:r>
      <w:r>
        <w:rPr>
          <w:rFonts w:ascii="Times New Roman" w:hAnsi="Times New Roman" w:eastAsia="Times New Roman" w:cs="Times New Roman"/>
          <w:b w:val="0"/>
          <w:bCs w:val="0"/>
          <w:color w:val="ff0000"/>
          <w:sz w:val="36"/>
          <w:szCs w:val="36"/>
          <w:u w:val="single"/>
        </w:rPr>
      </w:r>
    </w:p>
    <w:tbl>
      <w:tblPr>
        <w:tblStyle w:val="12"/>
        <w:tblW w:w="0" w:type="auto"/>
        <w:tblBorders/>
        <w:tblLook w:val="04A0" w:firstRow="1" w:lastRow="0" w:firstColumn="1" w:lastColumn="0" w:noHBand="0" w:noVBand="1"/>
      </w:tblPr>
      <w:tblGrid>
        <w:gridCol w:w="3120"/>
        <w:gridCol w:w="3120"/>
        <w:gridCol w:w="3120"/>
      </w:tblGrid>
      <w:tr>
        <w:trPr/>
        <w:tc>
          <w:tcPr>
            <w:tcBorders/>
            <w:tcW w:w="3120" w:type="dxa"/>
          </w:tcPr>
          <w:p w14:paraId="70EAAAFA">
            <w:pPr>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t xml:space="preserve">Tiêu chí</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tc>
        <w:tc>
          <w:tcPr>
            <w:tcBorders/>
            <w:tcW w:w="3120" w:type="dxa"/>
          </w:tcPr>
          <w:p w14:paraId="0E6F5D42">
            <w:p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Toán tử &gt; (Ghi đè)</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756A1366">
            <w:pPr>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t xml:space="preserve">(Lệnh: Out-File)</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tc>
        <w:tc>
          <w:tcPr>
            <w:tcBorders/>
            <w:tcW w:w="3120" w:type="dxa"/>
          </w:tcPr>
          <w:p w14:paraId="07BCF5C8">
            <w:p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Toán tử &gt;&gt; (Ghi nối tiếp)</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27A51244">
            <w:pPr>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t xml:space="preserve">(Lệnh: Add-Content)</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tc>
      </w:tr>
      <w:tr>
        <w:trPr/>
        <w:tc>
          <w:tcPr>
            <w:tcBorders/>
            <w:tcW w:w="3120" w:type="dxa"/>
          </w:tcPr>
          <w:p w14:paraId="6C3EE77D">
            <w:pPr>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t xml:space="preserve">Cơ chế hoạt động</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tc>
        <w:tc>
          <w:tcPr>
            <w:tcBorders/>
            <w:tcW w:w="3120" w:type="dxa"/>
          </w:tcPr>
          <w:p w14:paraId="280E11C7">
            <w:pPr>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t xml:space="preserve">Tạo file mới hoặc xóa toàn bộ nội dung cũ đang có trong file, sau đó ghi đè nội dung mới hoàn toàn vào.</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tc>
        <w:tc>
          <w:tcPr>
            <w:tcBorders/>
            <w:tcW w:w="3120" w:type="dxa"/>
          </w:tcPr>
          <w:p w14:paraId="00CE7A89">
            <w:pPr>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t xml:space="preserve">Giữ nguyên nội dung cũ và ghi nối tiếp nội dung mới vào ngay dòng cuối cùng của file.</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tc>
      </w:tr>
      <w:tr>
        <w:trPr/>
        <w:tc>
          <w:tcPr>
            <w:tcBorders/>
            <w:tcW w:w="3120" w:type="dxa"/>
          </w:tcPr>
          <w:p w14:paraId="48F61CC0">
            <w:pPr>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t xml:space="preserve">Rủi ro mất dữ liệu</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tc>
        <w:tc>
          <w:tcPr>
            <w:tcBorders/>
            <w:tcW w:w="3120" w:type="dxa"/>
          </w:tcPr>
          <w:p w14:paraId="35BADDFB">
            <w:pPr>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t xml:space="preserve">Rất cao. Nếu file đích đã tồn tại lịch sử ghi log trước đó, toàn bộ dữ liệu cũ sẽ biến mất vĩnh viễn ngay khi lệnh chạy.</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tc>
        <w:tc>
          <w:tcPr>
            <w:tcBorders/>
            <w:tcW w:w="3120" w:type="dxa"/>
          </w:tcPr>
          <w:p w14:paraId="5CCF3C43">
            <w:pPr>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t xml:space="preserve">Thấp. An toàn hơn vì bảo lưu được toàn bộ dữ liệu lịch sử đã ghi trước đó.</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tc>
      </w:tr>
      <w:tr>
        <w:trPr/>
        <w:tc>
          <w:tcPr>
            <w:tcBorders/>
            <w:tcW w:w="3120" w:type="dxa"/>
          </w:tcPr>
          <w:p w14:paraId="2B2C6B84">
            <w:pPr>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t xml:space="preserve">Ngữ cảnh sử dụng</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tc>
        <w:tc>
          <w:tcPr>
            <w:tcBorders/>
            <w:tcW w:w="3120" w:type="dxa"/>
          </w:tcPr>
          <w:p w14:paraId="7DEADB14">
            <w:pPr>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t xml:space="preserve">Ca sáng / Khởi tạo mới: Thích hợp khi bạn muốn reset hoàn toàn file nhật ký, tạo báo cáo mới tinh mỗi ngày hoặc chạy file log độc lập cho phiên làm việc mới.</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tc>
        <w:tc>
          <w:tcPr>
            <w:tcBorders/>
            <w:tcW w:w="3120" w:type="dxa"/>
          </w:tcPr>
          <w:p w14:paraId="4BEF723A">
            <w:pPr>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t xml:space="preserve">Theo dõi 24/7 / Ghi log liên tục: Bắt buộc dùng trong hệ thống chạy liên tục để tích lũy dữ liệu, tránh làm mất các dòng log quan trọng từ các thời điểm trước.</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tc>
      </w:tr>
    </w:tbl>
    <w:p w14:paraId="21DF34C2">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5DD8911">
      <w:pPr>
        <w:pStyle w:val="140"/>
        <w:pBdr/>
        <w:spacing/>
        <w:ind/>
        <w:rPr>
          <w:rFonts w:ascii="Times New Roman" w:hAnsi="Times New Roman" w:cs="Times New Roman"/>
          <w:color w:val="ff0000"/>
          <w:sz w:val="36"/>
          <w:szCs w:val="36"/>
          <w:highlight w:val="none"/>
          <w:u w:val="single"/>
        </w:rPr>
      </w:pPr>
      <w:r>
        <w:rPr>
          <w:rFonts w:ascii="Times New Roman" w:hAnsi="Times New Roman" w:eastAsia="Times New Roman" w:cs="Times New Roman"/>
          <w:color w:val="ff0000"/>
          <w:sz w:val="36"/>
          <w:szCs w:val="36"/>
          <w:highlight w:val="none"/>
          <w:u w:val="single"/>
        </w:rPr>
        <w:t xml:space="preserve">Phần 2: Cảnh báo — Thảm họa khi gõ nhầm &gt; thay cho &gt;&gt;</w:t>
      </w:r>
      <w:r>
        <w:rPr>
          <w:rFonts w:ascii="Times New Roman" w:hAnsi="Times New Roman" w:eastAsia="Times New Roman" w:cs="Times New Roman"/>
          <w:color w:val="ff0000"/>
          <w:sz w:val="36"/>
          <w:szCs w:val="36"/>
          <w:u w:val="single"/>
        </w:rPr>
      </w:r>
    </w:p>
    <w:p w14:paraId="3EC7D835">
      <w:p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Trong môi trường vận hành ngân hàng hoặc hệ thống doanh nghiệp lớn, việc ghi nhầm &gt; thành &gt;&gt; bị coi là một thảm họa dữ liệu vì những lý do sau:</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64C0276D">
      <w:pPr>
        <w:pStyle w:val="668"/>
        <w:numPr>
          <w:ilvl w:val="0"/>
          <w:numId w:val="1"/>
        </w:num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Mất sạch dấu vết sự cố: File nhật ký (history.txt hay access.log) là tài liệu pháp lý kỹ thuật tối quan trọng để kiểm toán, rà soát nguyên nhân lỗi hoặc truy vết các cuộc tấn công mạng. Nếu dùng nhầm &gt;, toàn bộ log từ đầu ngày hay các sự cố đã ghi nhận trướ</w:t>
      </w:r>
      <w:r>
        <w:rPr>
          <w:rFonts w:ascii="Times New Roman" w:hAnsi="Times New Roman" w:eastAsia="Times New Roman" w:cs="Times New Roman"/>
          <w:sz w:val="28"/>
          <w:szCs w:val="28"/>
          <w:highlight w:val="none"/>
        </w:rPr>
        <w:t xml:space="preserve">c đó sẽ bị xóa trắng ngay lập tức.</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36AF4DCC">
      <w:pPr>
        <w:pStyle w:val="668"/>
        <w:numPr>
          <w:ilvl w:val="0"/>
          <w:numId w:val="1"/>
        </w:numPr>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t xml:space="preserve">Không thể khôi phục: PowerShell thực hiện lệnh ghi đè ngay lập tức mà không có cơ chế "Thùng rác" (Recycle Bin) cho file dòng lệnh, khiến kỹ sư không thể lấy lại dữ liệu cũ phục vụ cho việc điều tra sự cố lúc nửa đêm.</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C5001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2026-10-12T15:23:56Z</dcterms:modified>
</cp:coreProperties>
</file>