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21C2A67">
      <w:pPr>
        <w:pStyle w:val="829"/>
        <w:pBdr/>
        <w:spacing/>
        <w:ind/>
        <w:jc w:val="center"/>
        <w:rPr>
          <w:color w:val="ff0000"/>
          <w:highlight w:val="none"/>
          <w:u w:val="none"/>
        </w:rPr>
      </w:pPr>
      <w:r>
        <w:rPr>
          <w:color w:val="ff0000"/>
          <w:highlight w:val="none"/>
          <w:u w:val="none"/>
        </w:rPr>
        <w:t xml:space="preserve">EXERCISE 03</w:t>
      </w:r>
      <w:r>
        <w:rPr>
          <w:color w:val="ff0000"/>
          <w:highlight w:val="none"/>
          <w:u w:val="none"/>
        </w:rPr>
      </w:r>
      <w:r>
        <w:rPr>
          <w:color w:val="ff0000"/>
          <w:highlight w:val="none"/>
          <w:u w:val="none"/>
        </w:rPr>
      </w:r>
    </w:p>
    <w:p w14:paraId="105A1E22">
      <w:pPr>
        <w:pStyle w:val="830"/>
        <w:pBdr/>
        <w:spacing/>
        <w:ind/>
        <w:rPr>
          <w:color w:val="ff0000"/>
          <w:highlight w:val="none"/>
        </w:rPr>
      </w:pPr>
      <w:r>
        <w:rPr>
          <w:color w:val="ff0000"/>
        </w:rPr>
        <w:t xml:space="preserve">Phần 1. Phân tích bài toán</w:t>
      </w:r>
      <w:r>
        <w:rPr>
          <w:color w:val="ff0000"/>
        </w:rPr>
      </w:r>
    </w:p>
    <w:p w14:paraId="03AED659">
      <w:pPr>
        <w:pBdr/>
        <w:spacing/>
        <w:ind/>
        <w:rPr/>
      </w:pPr>
      <w:r>
        <w:t xml:space="preserve">Markdown giúp AI xử lý thông tin nhanh chóng và hiệu quả hơn nhờ vào cơ chế tối ưu hóa số lượng Token. Cụ thể:   </w:t>
      </w:r>
      <w:r/>
    </w:p>
    <w:p w14:paraId="5F4399DA">
      <w:pPr>
        <w:pStyle w:val="892"/>
        <w:numPr>
          <w:ilvl w:val="0"/>
          <w:numId w:val="1"/>
        </w:numPr>
        <w:pBdr/>
        <w:spacing/>
        <w:ind/>
        <w:rPr/>
      </w:pPr>
      <w:r>
        <w:t xml:space="preserve">Giảm thiểu mã lệnh thừa: HTML chứa rất nhiều thẻ cú pháp rườm rà, thuộc tính phân lớp (&lt;div&gt;, &lt;head&gt;, &lt;style&gt;, class, v.v.) không mang lại giá trị ngữ nghĩa cốt lõi cho mô hình ngôn ngữ lớn (LLM), làm tiêu tốn lượng lớn token không cần thiết.   </w:t>
      </w:r>
      <w:r/>
    </w:p>
    <w:p w14:paraId="51A6A133">
      <w:pPr>
        <w:pStyle w:val="892"/>
        <w:numPr>
          <w:ilvl w:val="0"/>
          <w:numId w:val="1"/>
        </w:numPr>
        <w:pBdr/>
        <w:spacing/>
        <w:ind/>
        <w:rPr/>
      </w:pPr>
      <w:r>
        <w:t xml:space="preserve">C</w:t>
      </w:r>
      <w:r>
        <w:t xml:space="preserve">ơ chế token hóa gọn nhẹ: Markdown sử dụng các ký tự đánh dấu đơn giản, trực quan (#, -, |) để biểu diễn cấu trúc văn bản, tiêu đề, danh sách và bảng biểu. Điều này giúp giảm số lượng token xuống mức thấp hơn đáng kể (ví dụ chỉ khoảng 620 tokens so với 2.35</w:t>
      </w:r>
      <w:r>
        <w:t xml:space="preserve">0 tokens của HTML).   </w:t>
      </w:r>
      <w:r/>
    </w:p>
    <w:p w14:paraId="0153DB1E">
      <w:pPr>
        <w:pStyle w:val="892"/>
        <w:numPr>
          <w:ilvl w:val="0"/>
          <w:numId w:val="1"/>
        </w:numPr>
        <w:pBdr/>
        <w:spacing/>
        <w:ind/>
        <w:rPr/>
      </w:pPr>
      <w:r>
        <w:t xml:space="preserve">T</w:t>
      </w:r>
      <w:r>
        <w:t xml:space="preserve">ăng tốc độ và tiết kiệm chi phí: Khi số lượng token đầu vào và đầu ra giảm, thời gian tính toán của mô hình được rút ngắn đáng kể (từ 8.2 giây xuống còn 1.6 giây) và chi phí gọi API/vận hành hạ tầng cũng giảm đi tương ứng (từ ~$0.0235 xuống ~$0.0062 mỗi lầ</w:t>
      </w:r>
      <w:r>
        <w:t xml:space="preserve">n gọi).   </w:t>
      </w:r>
      <w:r/>
    </w:p>
    <w:p w14:paraId="68B15EDE">
      <w:pPr>
        <w:pStyle w:val="830"/>
        <w:pBdr/>
        <w:spacing/>
        <w:ind/>
        <w:rPr>
          <w:color w:val="ff0000"/>
        </w:rPr>
      </w:pPr>
      <w:r>
        <w:rPr>
          <w:color w:val="ff0000"/>
        </w:rPr>
        <w:t xml:space="preserve">Phần 2. So sánh &amp; Đánh giá</w:t>
      </w:r>
      <w:r>
        <w:rPr>
          <w:color w:val="ff0000"/>
        </w:rPr>
      </w:r>
    </w:p>
    <w:p w14:paraId="02756784">
      <w:pPr>
        <w:pBdr/>
        <w:spacing/>
        <w:ind/>
        <w:rPr>
          <w:highlight w:val="none"/>
        </w:rPr>
      </w:pPr>
      <w:r>
        <w:t xml:space="preserve">Bảng so sánh Markdown và HTML</w:t>
      </w:r>
      <w:r>
        <w:rPr>
          <w:highlight w:val="none"/>
        </w:rPr>
      </w:r>
    </w:p>
    <w:tbl>
      <w:tblPr>
        <w:tblStyle w:val="703"/>
        <w:tblW w:w="0" w:type="auto"/>
        <w:tblBorders/>
        <w:tblLook w:val="04A0" w:firstRow="1" w:lastRow="0" w:firstColumn="1" w:lastColumn="0" w:noHBand="0" w:noVBand="1"/>
      </w:tblPr>
      <w:tblGrid>
        <w:gridCol w:w="3120"/>
        <w:gridCol w:w="3120"/>
        <w:gridCol w:w="3120"/>
      </w:tblGrid>
      <w:tr>
        <w:trPr/>
        <w:tc>
          <w:tcPr>
            <w:tcBorders/>
            <w:tcW w:w="3120" w:type="dxa"/>
          </w:tcPr>
          <w:p w14:paraId="2E35C52D">
            <w:pPr>
              <w:pBdr/>
              <w:spacing/>
              <w:ind/>
              <w:rPr>
                <w:highlight w:val="none"/>
              </w:rPr>
            </w:pPr>
            <w:r>
              <w:rPr>
                <w:highlight w:val="none"/>
              </w:rPr>
            </w:r>
            <w:r>
              <w:rPr>
                <w:highlight w:val="none"/>
              </w:rPr>
              <w:t xml:space="preserve">Tiêu chí</w:t>
            </w:r>
            <w:r>
              <w:rPr>
                <w:highlight w:val="none"/>
              </w:rPr>
            </w:r>
            <w:r>
              <w:rPr>
                <w:highlight w:val="none"/>
              </w:rPr>
            </w:r>
            <w:r>
              <w:rPr>
                <w:highlight w:val="none"/>
              </w:rPr>
            </w:r>
          </w:p>
        </w:tc>
        <w:tc>
          <w:tcPr>
            <w:tcBorders/>
            <w:tcW w:w="3120" w:type="dxa"/>
          </w:tcPr>
          <w:p w14:paraId="137D75DB">
            <w:pPr>
              <w:pBdr/>
              <w:spacing/>
              <w:ind/>
              <w:rPr>
                <w:highlight w:val="none"/>
              </w:rPr>
            </w:pPr>
            <w:r>
              <w:rPr>
                <w:highlight w:val="none"/>
              </w:rPr>
            </w:r>
            <w:r>
              <w:rPr>
                <w:highlight w:val="none"/>
              </w:rPr>
            </w:r>
            <w:r>
              <w:rPr>
                <w:highlight w:val="none"/>
              </w:rPr>
              <w:t xml:space="preserve">Định dạng HTML</w:t>
            </w:r>
            <w:r>
              <w:rPr>
                <w:highlight w:val="none"/>
              </w:rPr>
            </w:r>
            <w:r>
              <w:rPr>
                <w:highlight w:val="none"/>
              </w:rPr>
            </w:r>
          </w:p>
        </w:tc>
        <w:tc>
          <w:tcPr>
            <w:tcBorders/>
            <w:tcW w:w="3120" w:type="dxa"/>
          </w:tcPr>
          <w:p w14:paraId="11671F58">
            <w:pPr>
              <w:pBdr/>
              <w:spacing/>
              <w:ind/>
              <w:rPr>
                <w:highlight w:val="none"/>
              </w:rPr>
            </w:pPr>
            <w:r>
              <w:rPr>
                <w:highlight w:val="none"/>
              </w:rPr>
            </w:r>
            <w:r>
              <w:rPr>
                <w:highlight w:val="none"/>
              </w:rPr>
              <w:t xml:space="preserve">Định dạng Markdown</w:t>
            </w:r>
            <w:r>
              <w:rPr>
                <w:highlight w:val="none"/>
              </w:rPr>
            </w:r>
            <w:r>
              <w:rPr>
                <w:highlight w:val="none"/>
              </w:rPr>
            </w:r>
            <w:r>
              <w:rPr>
                <w:highlight w:val="none"/>
              </w:rPr>
            </w:r>
          </w:p>
        </w:tc>
      </w:tr>
      <w:tr>
        <w:trPr/>
        <w:tc>
          <w:tcPr>
            <w:tcBorders/>
            <w:tcW w:w="3120" w:type="dxa"/>
          </w:tcPr>
          <w:p w14:paraId="23FB5C43">
            <w:pPr>
              <w:pBdr/>
              <w:spacing/>
              <w:ind/>
              <w:rPr>
                <w:highlight w:val="none"/>
              </w:rPr>
            </w:pPr>
            <w:r>
              <w:rPr>
                <w:highlight w:val="none"/>
              </w:rPr>
            </w:r>
            <w:r>
              <w:rPr>
                <w:highlight w:val="none"/>
              </w:rPr>
              <w:t xml:space="preserve">Số lượng Token</w:t>
            </w:r>
            <w:r>
              <w:rPr>
                <w:highlight w:val="none"/>
              </w:rPr>
            </w:r>
            <w:r>
              <w:rPr>
                <w:highlight w:val="none"/>
              </w:rPr>
            </w:r>
            <w:r>
              <w:rPr>
                <w:highlight w:val="none"/>
              </w:rPr>
            </w:r>
          </w:p>
        </w:tc>
        <w:tc>
          <w:tcPr>
            <w:tcBorders/>
            <w:tcW w:w="3120" w:type="dxa"/>
          </w:tcPr>
          <w:p w14:paraId="12762841">
            <w:pPr>
              <w:pBdr/>
              <w:spacing/>
              <w:ind/>
              <w:rPr>
                <w:highlight w:val="none"/>
              </w:rPr>
            </w:pPr>
            <w:r>
              <w:rPr>
                <w:highlight w:val="none"/>
              </w:rPr>
            </w:r>
            <w:r>
              <w:rPr>
                <w:highlight w:val="none"/>
              </w:rPr>
              <w:t xml:space="preserve">Rất cao (~2.350 tokens)</w:t>
            </w:r>
            <w:r>
              <w:rPr>
                <w:highlight w:val="none"/>
              </w:rPr>
            </w:r>
            <w:r>
              <w:rPr>
                <w:highlight w:val="none"/>
              </w:rPr>
            </w:r>
            <w:r>
              <w:rPr>
                <w:highlight w:val="none"/>
              </w:rPr>
            </w:r>
          </w:p>
        </w:tc>
        <w:tc>
          <w:tcPr>
            <w:tcBorders/>
            <w:tcW w:w="3120" w:type="dxa"/>
          </w:tcPr>
          <w:p w14:paraId="3C881C1A">
            <w:pPr>
              <w:pBdr/>
              <w:spacing/>
              <w:ind/>
              <w:rPr>
                <w:highlight w:val="none"/>
              </w:rPr>
            </w:pPr>
            <w:r>
              <w:rPr>
                <w:highlight w:val="none"/>
              </w:rPr>
            </w:r>
            <w:r>
              <w:rPr>
                <w:highlight w:val="none"/>
              </w:rPr>
              <w:t xml:space="preserve">Thấp, tối ưu (~620 tokens)</w:t>
            </w:r>
            <w:r>
              <w:rPr>
                <w:highlight w:val="none"/>
              </w:rPr>
            </w:r>
            <w:r>
              <w:rPr>
                <w:highlight w:val="none"/>
              </w:rPr>
            </w:r>
            <w:r>
              <w:rPr>
                <w:highlight w:val="none"/>
              </w:rPr>
            </w:r>
          </w:p>
        </w:tc>
      </w:tr>
      <w:tr>
        <w:trPr/>
        <w:tc>
          <w:tcPr>
            <w:tcBorders/>
            <w:tcW w:w="3120" w:type="dxa"/>
          </w:tcPr>
          <w:p w14:paraId="605E209D">
            <w:pPr>
              <w:pBdr/>
              <w:spacing/>
              <w:ind/>
              <w:rPr>
                <w:highlight w:val="none"/>
              </w:rPr>
            </w:pPr>
            <w:r>
              <w:rPr>
                <w:highlight w:val="none"/>
              </w:rPr>
            </w:r>
            <w:r>
              <w:rPr>
                <w:highlight w:val="none"/>
              </w:rPr>
              <w:t xml:space="preserve">Tốc độ xử lý của AI</w:t>
            </w:r>
            <w:r>
              <w:rPr>
                <w:highlight w:val="none"/>
              </w:rPr>
            </w:r>
            <w:r>
              <w:rPr>
                <w:highlight w:val="none"/>
              </w:rPr>
            </w:r>
            <w:r>
              <w:rPr>
                <w:highlight w:val="none"/>
              </w:rPr>
            </w:r>
          </w:p>
        </w:tc>
        <w:tc>
          <w:tcPr>
            <w:tcBorders/>
            <w:tcW w:w="3120" w:type="dxa"/>
          </w:tcPr>
          <w:p w14:paraId="13E5909E">
            <w:pPr>
              <w:pBdr/>
              <w:spacing/>
              <w:ind/>
              <w:rPr>
                <w:highlight w:val="none"/>
              </w:rPr>
            </w:pPr>
            <w:r>
              <w:rPr>
                <w:highlight w:val="none"/>
              </w:rPr>
            </w:r>
            <w:r>
              <w:rPr>
                <w:highlight w:val="none"/>
              </w:rPr>
              <w:t xml:space="preserve">Chậm (~8.2 giây)</w:t>
            </w:r>
            <w:r>
              <w:rPr>
                <w:highlight w:val="none"/>
              </w:rPr>
            </w:r>
            <w:r>
              <w:rPr>
                <w:highlight w:val="none"/>
              </w:rPr>
            </w:r>
            <w:r>
              <w:rPr>
                <w:highlight w:val="none"/>
              </w:rPr>
            </w:r>
          </w:p>
        </w:tc>
        <w:tc>
          <w:tcPr>
            <w:tcBorders/>
            <w:tcW w:w="3120" w:type="dxa"/>
          </w:tcPr>
          <w:p w14:paraId="3E5E8C9B">
            <w:pPr>
              <w:pBdr/>
              <w:spacing/>
              <w:ind/>
              <w:rPr>
                <w:highlight w:val="none"/>
              </w:rPr>
            </w:pPr>
            <w:r>
              <w:rPr>
                <w:highlight w:val="none"/>
              </w:rPr>
            </w:r>
            <w:r>
              <w:rPr>
                <w:highlight w:val="none"/>
              </w:rPr>
              <w:t xml:space="preserve">Nhanh chóng (~1.6 giây)</w:t>
            </w:r>
            <w:r>
              <w:rPr>
                <w:highlight w:val="none"/>
              </w:rPr>
            </w:r>
            <w:r>
              <w:rPr>
                <w:highlight w:val="none"/>
              </w:rPr>
            </w:r>
            <w:r>
              <w:rPr>
                <w:highlight w:val="none"/>
              </w:rPr>
            </w:r>
          </w:p>
        </w:tc>
      </w:tr>
      <w:tr>
        <w:trPr/>
        <w:tc>
          <w:tcPr>
            <w:tcBorders/>
            <w:tcW w:w="3120" w:type="dxa"/>
          </w:tcPr>
          <w:p w14:paraId="69C36188">
            <w:pPr>
              <w:pBdr/>
              <w:spacing/>
              <w:ind/>
              <w:rPr>
                <w:highlight w:val="none"/>
              </w:rPr>
            </w:pPr>
            <w:r>
              <w:rPr>
                <w:highlight w:val="none"/>
              </w:rPr>
            </w:r>
            <w:r>
              <w:rPr>
                <w:highlight w:val="none"/>
              </w:rPr>
              <w:t xml:space="preserve">Chi phí vận hành</w:t>
            </w:r>
            <w:r>
              <w:rPr>
                <w:highlight w:val="none"/>
              </w:rPr>
            </w:r>
            <w:r>
              <w:rPr>
                <w:highlight w:val="none"/>
              </w:rPr>
            </w:r>
            <w:r>
              <w:rPr>
                <w:highlight w:val="none"/>
              </w:rPr>
            </w:r>
          </w:p>
        </w:tc>
        <w:tc>
          <w:tcPr>
            <w:tcBorders/>
            <w:tcW w:w="3120" w:type="dxa"/>
          </w:tcPr>
          <w:p w14:paraId="42B5352A">
            <w:pPr>
              <w:pBdr/>
              <w:spacing/>
              <w:ind/>
              <w:rPr>
                <w:highlight w:val="none"/>
              </w:rPr>
            </w:pPr>
            <w:r>
              <w:rPr>
                <w:highlight w:val="none"/>
              </w:rPr>
            </w:r>
            <w:r>
              <w:rPr>
                <w:highlight w:val="none"/>
              </w:rPr>
              <w:t xml:space="preserve">Cao (~$0.0235 / lần)</w:t>
            </w:r>
            <w:r>
              <w:rPr>
                <w:highlight w:val="none"/>
              </w:rPr>
            </w:r>
            <w:r>
              <w:rPr>
                <w:highlight w:val="none"/>
              </w:rPr>
            </w:r>
            <w:r>
              <w:rPr>
                <w:highlight w:val="none"/>
              </w:rPr>
            </w:r>
          </w:p>
        </w:tc>
        <w:tc>
          <w:tcPr>
            <w:tcBorders/>
            <w:tcW w:w="3120" w:type="dxa"/>
          </w:tcPr>
          <w:p w14:paraId="1181BD75">
            <w:pPr>
              <w:pBdr/>
              <w:spacing/>
              <w:ind/>
              <w:rPr>
                <w:highlight w:val="none"/>
              </w:rPr>
            </w:pPr>
            <w:r>
              <w:rPr>
                <w:highlight w:val="none"/>
              </w:rPr>
            </w:r>
            <w:r>
              <w:rPr>
                <w:highlight w:val="none"/>
              </w:rPr>
              <w:t xml:space="preserve">Tiết kiệm (~$0.0062 / lần)</w:t>
            </w:r>
            <w:r>
              <w:rPr>
                <w:highlight w:val="none"/>
              </w:rPr>
            </w:r>
            <w:r>
              <w:rPr>
                <w:highlight w:val="none"/>
              </w:rPr>
            </w:r>
            <w:r>
              <w:rPr>
                <w:highlight w:val="none"/>
              </w:rPr>
            </w:r>
          </w:p>
        </w:tc>
      </w:tr>
      <w:tr>
        <w:trPr/>
        <w:tc>
          <w:tcPr>
            <w:tcBorders/>
            <w:tcW w:w="3120" w:type="dxa"/>
          </w:tcPr>
          <w:p w14:paraId="09F0A1B5">
            <w:pPr>
              <w:pBdr/>
              <w:spacing/>
              <w:ind/>
              <w:rPr>
                <w:highlight w:val="none"/>
              </w:rPr>
            </w:pPr>
            <w:r>
              <w:rPr>
                <w:highlight w:val="none"/>
              </w:rPr>
            </w:r>
            <w:r>
              <w:rPr>
                <w:highlight w:val="none"/>
              </w:rPr>
              <w:t xml:space="preserve">Tính "Human-readable"</w:t>
            </w:r>
            <w:r>
              <w:rPr>
                <w:highlight w:val="none"/>
              </w:rPr>
            </w:r>
            <w:r>
              <w:rPr>
                <w:highlight w:val="none"/>
              </w:rPr>
            </w:r>
            <w:r>
              <w:rPr>
                <w:highlight w:val="none"/>
              </w:rPr>
            </w:r>
          </w:p>
        </w:tc>
        <w:tc>
          <w:tcPr>
            <w:tcBorders/>
            <w:tcW w:w="3120" w:type="dxa"/>
          </w:tcPr>
          <w:p w14:paraId="3C670648">
            <w:pPr>
              <w:pBdr/>
              <w:spacing/>
              <w:ind/>
              <w:rPr>
                <w:highlight w:val="none"/>
              </w:rPr>
            </w:pPr>
            <w:r>
              <w:rPr>
                <w:highlight w:val="none"/>
              </w:rPr>
            </w:r>
            <w:r>
              <w:rPr>
                <w:highlight w:val="none"/>
              </w:rPr>
              <w:t xml:space="preserve">Thấp, khó đọc trực tiếp do bị nhiễu bởi các thẻ định dạng cấu trúc và mã CSS</w:t>
            </w:r>
            <w:r>
              <w:rPr>
                <w:highlight w:val="none"/>
              </w:rPr>
            </w:r>
            <w:r>
              <w:rPr>
                <w:highlight w:val="none"/>
              </w:rPr>
            </w:r>
            <w:r>
              <w:rPr>
                <w:highlight w:val="none"/>
              </w:rPr>
            </w:r>
          </w:p>
        </w:tc>
        <w:tc>
          <w:tcPr>
            <w:tcBorders/>
            <w:tcW w:w="3120" w:type="dxa"/>
          </w:tcPr>
          <w:p w14:paraId="06840D66">
            <w:pPr>
              <w:pBdr/>
              <w:spacing/>
              <w:ind/>
              <w:rPr>
                <w:highlight w:val="none"/>
              </w:rPr>
            </w:pPr>
            <w:r>
              <w:rPr>
                <w:highlight w:val="none"/>
              </w:rPr>
            </w:r>
            <w:r>
              <w:rPr>
                <w:highlight w:val="none"/>
              </w:rPr>
              <w:t xml:space="preserve">Cao, cực kỳ trực quan, dễ đọc và dễ chỉnh sửa ngay cả ở dạng mã nguồn thô</w:t>
            </w:r>
            <w:r>
              <w:rPr>
                <w:highlight w:val="none"/>
              </w:rPr>
            </w:r>
            <w:r>
              <w:rPr>
                <w:highlight w:val="none"/>
              </w:rPr>
            </w:r>
            <w:r>
              <w:rPr>
                <w:highlight w:val="none"/>
              </w:rPr>
            </w:r>
          </w:p>
        </w:tc>
      </w:tr>
    </w:tbl>
    <w:p w14:paraId="50C7C00B">
      <w:pPr>
        <w:pBdr/>
        <w:spacing/>
        <w:ind/>
        <w:rPr/>
      </w:pPr>
      <w:r>
        <w:rPr>
          <w:highlight w:val="none"/>
        </w:rPr>
      </w:r>
      <w:r>
        <w:rPr>
          <w:highlight w:val="none"/>
        </w:rPr>
      </w:r>
      <w:r/>
    </w:p>
    <w:p w14:paraId="0195816A">
      <w:pPr>
        <w:pBdr/>
        <w:spacing/>
        <w:ind/>
        <w:rPr/>
      </w:pPr>
      <w:r>
        <w:t xml:space="preserve">Giải pháp tối ưu cho hệ thống "GreenTech"</w:t>
      </w:r>
      <w:r/>
    </w:p>
    <w:p w14:paraId="318BDD04">
      <w:pPr>
        <w:pBdr/>
        <w:spacing/>
        <w:ind/>
        <w:rPr/>
      </w:pPr>
      <w:r>
        <w:t xml:space="preserve">Lựa chọn tối ưu: Sử dụng định dạng Markdown cho hệ thống "Chuyên gia nông nghiệp AI".   </w:t>
      </w:r>
      <w:r/>
    </w:p>
    <w:p w14:paraId="0C2D715D">
      <w:pPr>
        <w:pBdr/>
        <w:spacing/>
        <w:ind/>
        <w:rPr/>
      </w:pPr>
      <w:r>
        <w:t xml:space="preserve">Lý do lựa chọn:</w:t>
      </w:r>
      <w:r/>
    </w:p>
    <w:p w14:paraId="3C1D94A3">
      <w:pPr>
        <w:pBdr/>
        <w:spacing/>
        <w:ind/>
        <w:rPr/>
      </w:pPr>
      <w:r>
        <w:t xml:space="preserve">Hiệu suất vượt trội: Markdown giúp tiết kiệm khoảng 74% lượng token và tăng tốc độ phản hồi lên khoảng 80%, mang lại trải nghiệm tương tác liền mạch cho người nông dân.   </w:t>
      </w:r>
      <w:r/>
    </w:p>
    <w:p w14:paraId="2DEE9A30">
      <w:pPr>
        <w:pBdr/>
        <w:spacing/>
        <w:ind/>
        <w:rPr/>
      </w:pPr>
      <w:r>
        <w:t xml:space="preserve">Hiệu quả kinh tế: Giúp giảm 74% chi phí vận hành hệ thống, tối ưu hóa nguồn lực tài chính dài hạn cho dự án.   </w:t>
      </w:r>
      <w:r/>
    </w:p>
    <w:p w14:paraId="7C45370B">
      <w:pPr>
        <w:pBdr/>
        <w:spacing/>
        <w:ind/>
        <w:rPr/>
      </w:pPr>
      <w:r>
        <w:t xml:space="preserve">Tập trung giá trị cốt lõi: Nhờ loại bỏ các đoạn mã trình bày phức tạp của HTML, hệ thống có thể tập trung hoàn toàn tài nguyên vào chất lượng tư vấn chuyên gia nông nghiệp.   </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5B12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2026-10-16T15:40:05Z</dcterms:modified>
</cp:coreProperties>
</file>