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6A6531D">
      <w:pPr>
        <w:pStyle w:val="159"/>
        <w:pBdr/>
        <w:spacing/>
        <w:ind/>
        <w:jc w:val="center"/>
        <w:rPr>
          <w:b/>
          <w:bCs/>
          <w:color w:val="ff0000"/>
        </w:rPr>
      </w:pPr>
      <w:r>
        <w:rPr>
          <w:b/>
          <w:bCs/>
          <w:color w:val="ff0000"/>
          <w:highlight w:val="none"/>
        </w:rPr>
        <w:t xml:space="preserve">EXERCISE 01</w:t>
      </w:r>
      <w:r>
        <w:rPr>
          <w:b/>
          <w:bCs/>
          <w:color w:val="ff0000"/>
          <w:highlight w:val="none"/>
        </w:rPr>
      </w:r>
    </w:p>
    <w:p w14:paraId="44F2E48E">
      <w:pPr>
        <w:pStyle w:val="139"/>
        <w:pBdr/>
        <w:spacing/>
        <w:ind/>
        <w:rPr>
          <w:color w:val="ff0000"/>
          <w:highlight w:val="none"/>
        </w:rPr>
      </w:pPr>
      <w:r>
        <w:rPr>
          <w:color w:val="ff0000"/>
        </w:rPr>
        <w:t xml:space="preserve">PHẦN 1: PHÂN TÍCH DATABASE TRONG EXCEL GIAO DỊCH</w:t>
      </w:r>
      <w:r>
        <w:rPr>
          <w:color w:val="ff0000"/>
        </w:rPr>
      </w:r>
    </w:p>
    <w:p w14:paraId="462F9BAE">
      <w:pPr>
        <w:pBdr/>
        <w:spacing/>
        <w:ind/>
        <w:rPr/>
      </w:pPr>
      <w:r>
        <w:t xml:space="preserve">Để quản lý và đối soát dữ liệu theo đúng nguyên tắc quản trị cơ sở dữ liệu (Database Standardize), bảng dữ liệu giao dịch PayKX được phân định rõ thành hai khái niệm:</w:t>
      </w:r>
      <w:r/>
      <w:r/>
      <w:r/>
      <w:r/>
    </w:p>
    <w:p w14:paraId="7BF74A6C">
      <w:pPr>
        <w:pStyle w:val="140"/>
        <w:numPr>
          <w:ilvl w:val="0"/>
          <w:numId w:val="1"/>
        </w:numPr>
        <w:pBdr/>
        <w:spacing/>
        <w:ind/>
        <w:rPr>
          <w:color w:val="ff0000"/>
        </w:rPr>
      </w:pPr>
      <w:r>
        <w:rPr>
          <w:color w:val="ff0000"/>
        </w:rPr>
      </w:r>
      <w:r>
        <w:rPr>
          <w:color w:val="ff0000"/>
        </w:rPr>
        <w:t xml:space="preserve">Record (Bản ghi / Hàng):</w:t>
      </w:r>
      <w:r>
        <w:rPr>
          <w:color w:val="ff0000"/>
        </w:rPr>
      </w:r>
      <w:r>
        <w:rPr>
          <w:color w:val="ff0000"/>
        </w:rPr>
      </w:r>
    </w:p>
    <w:p w14:paraId="5411F77F">
      <w:pPr>
        <w:pStyle w:val="668"/>
        <w:numPr>
          <w:ilvl w:val="1"/>
          <w:numId w:val="1"/>
        </w:numPr>
        <w:pBdr/>
        <w:spacing/>
        <w:ind/>
        <w:rPr/>
      </w:pPr>
      <w:r>
        <w:t xml:space="preserve">Khái niệm: Biểu diễn một đơn vị thông tin hoàn chỉnh, duy nhất về một giao dịch phát sinh trong hệ thống.</w:t>
      </w:r>
      <w:r/>
      <w:r/>
      <w:r/>
      <w:r/>
    </w:p>
    <w:p w14:paraId="70A9557C">
      <w:pPr>
        <w:pStyle w:val="668"/>
        <w:numPr>
          <w:ilvl w:val="1"/>
          <w:numId w:val="1"/>
        </w:numPr>
        <w:pBdr/>
        <w:spacing/>
        <w:ind/>
        <w:rPr/>
      </w:pPr>
      <w:r>
        <w:t xml:space="preserve">Trong PayKX: Mỗi hàng ngang (từ Hàng 2 đến Hàng 6) là 1 Record chứa đầy đủ thông tin của 1 giao dịch cụ thể (STT, Mã giao dịch, Mã khách hàng thô, Mã chuẩn, Tên người dùng, Số tiền, Ngân hàng đối tác, Trạng thái).</w:t>
      </w:r>
      <w:r/>
      <w:r/>
      <w:r/>
      <w:r/>
    </w:p>
    <w:p w14:paraId="2147C013">
      <w:pPr>
        <w:pStyle w:val="668"/>
        <w:numPr>
          <w:ilvl w:val="1"/>
          <w:numId w:val="1"/>
        </w:numPr>
        <w:pBdr/>
        <w:spacing/>
        <w:ind/>
        <w:rPr/>
      </w:pPr>
      <w:r>
        <w:t xml:space="preserve">Quy tắc chuẩn hóa: Không gộp ô (Merge Cells) và không để hàng trống giữa các bản ghi để đảm bảo tính toàn vẹn dữ liệu khi Lọc (Filter), Sắp xếp (Sort) hay tính toán tự động.</w:t>
      </w:r>
      <w:r/>
      <w:r/>
      <w:r/>
      <w:r/>
    </w:p>
    <w:p w14:paraId="0FE7D563">
      <w:pPr>
        <w:pStyle w:val="140"/>
        <w:numPr>
          <w:ilvl w:val="0"/>
          <w:numId w:val="1"/>
        </w:numPr>
        <w:pBdr/>
        <w:spacing/>
        <w:ind/>
        <w:rPr>
          <w:color w:val="ff0000"/>
        </w:rPr>
      </w:pPr>
      <w:r>
        <w:rPr>
          <w:color w:val="ff0000"/>
        </w:rPr>
        <w:t xml:space="preserve">Field (Trường dữ liệu / Cột):</w:t>
      </w:r>
      <w:r>
        <w:rPr>
          <w:color w:val="ff0000"/>
        </w:rPr>
      </w:r>
      <w:r>
        <w:rPr>
          <w:color w:val="ff0000"/>
        </w:rPr>
      </w:r>
    </w:p>
    <w:p w14:paraId="6347A317">
      <w:pPr>
        <w:pStyle w:val="668"/>
        <w:numPr>
          <w:ilvl w:val="1"/>
          <w:numId w:val="1"/>
        </w:numPr>
        <w:pBdr/>
        <w:spacing/>
        <w:ind/>
        <w:rPr/>
      </w:pPr>
      <w:r>
        <w:t xml:space="preserve">Khái niệm: Biểu diễn một thuộc tính hoặc đặc tính cụ thể của bản ghi. Mọi dữ liệu trong cùng một cột phải có chung một kiểu dữ liệu (Data Type).</w:t>
      </w:r>
      <w:r/>
      <w:r/>
      <w:r/>
      <w:r/>
    </w:p>
    <w:p w14:paraId="038F2D8B">
      <w:pPr>
        <w:pStyle w:val="668"/>
        <w:numPr>
          <w:ilvl w:val="1"/>
          <w:numId w:val="1"/>
        </w:numPr>
        <w:pBdr/>
        <w:spacing/>
        <w:ind/>
        <w:rPr/>
      </w:pPr>
      <w:r>
        <w:t xml:space="preserve">Trong PayKX:</w:t>
      </w:r>
      <w:r/>
      <w:r/>
      <w:r/>
      <w:r/>
    </w:p>
    <w:p w14:paraId="375FBC83">
      <w:pPr>
        <w:pStyle w:val="668"/>
        <w:numPr>
          <w:ilvl w:val="2"/>
          <w:numId w:val="1"/>
        </w:numPr>
        <w:pBdr/>
        <w:spacing/>
        <w:ind/>
        <w:rPr/>
      </w:pPr>
      <w:r>
        <w:t xml:space="preserve">Ma_Giao_Dich (Cột B): Kiểu Text, đóng vai trò là Khóa chính (Primary Key).</w:t>
      </w:r>
      <w:r/>
      <w:r/>
      <w:r/>
      <w:r/>
    </w:p>
    <w:p w14:paraId="7CB5265A">
      <w:pPr>
        <w:pStyle w:val="668"/>
        <w:numPr>
          <w:ilvl w:val="2"/>
          <w:numId w:val="1"/>
        </w:numPr>
        <w:pBdr/>
        <w:spacing/>
        <w:ind/>
        <w:rPr/>
      </w:pPr>
      <w:r>
        <w:t xml:space="preserve">Ma_Khach_Hang_Chuan (Cột D): Kiểu Text, được làm sạch từ Cột C bằng hàm TRIM.</w:t>
      </w:r>
      <w:r/>
      <w:r/>
      <w:r/>
      <w:r/>
    </w:p>
    <w:p w14:paraId="44C44DCD">
      <w:pPr>
        <w:pStyle w:val="668"/>
        <w:numPr>
          <w:ilvl w:val="2"/>
          <w:numId w:val="1"/>
        </w:numPr>
        <w:pBdr/>
        <w:spacing/>
        <w:ind/>
        <w:rPr/>
      </w:pPr>
      <w:r>
        <w:t xml:space="preserve">Ten_Nguoi_Dung_VLOOKUP (Cột E): Kiểu Text, tra cứu tự động qua hàm VLOOKUP.</w:t>
      </w:r>
      <w:r/>
      <w:r/>
      <w:r/>
      <w:r/>
    </w:p>
    <w:p w14:paraId="1194E58D">
      <w:pPr>
        <w:pStyle w:val="668"/>
        <w:numPr>
          <w:ilvl w:val="2"/>
          <w:numId w:val="1"/>
        </w:numPr>
        <w:pBdr/>
        <w:spacing/>
        <w:ind/>
        <w:rPr/>
      </w:pPr>
      <w:r>
        <w:t xml:space="preserve">So_Tien_Giao_Dich (Cột F): Kiểu Numeric/Currency (Số tiền VNĐ).</w:t>
      </w:r>
      <w:r/>
      <w:r/>
      <w:r/>
      <w:r/>
    </w:p>
    <w:p w14:paraId="68CBEED2">
      <w:pPr>
        <w:pBdr/>
        <w:shd w:val="nil"/>
        <w:spacing/>
        <w:ind/>
        <w:rPr/>
      </w:pPr>
      <w:r>
        <w:rPr>
          <w:highlight w:val="none"/>
        </w:rPr>
        <w:br w:type="page" w:clear="all"/>
      </w:r>
      <w:r>
        <w:rPr>
          <w:highlight w:val="none"/>
        </w:rPr>
      </w:r>
      <w:r>
        <w:rPr>
          <w:highlight w:val="none"/>
        </w:rPr>
      </w:r>
    </w:p>
    <w:p w14:paraId="4C5D7A8E">
      <w:pPr>
        <w:pStyle w:val="139"/>
        <w:pBdr/>
        <w:spacing/>
        <w:ind/>
        <w:rPr>
          <w:color w:val="ff0000"/>
          <w:highlight w:val="none"/>
        </w:rPr>
      </w:pPr>
      <w:r>
        <w:rPr>
          <w:color w:val="ff0000"/>
        </w:rPr>
        <w:t xml:space="preserve">PHẦN 3: QUY TRÌNH 4 ĐIỂM KIỂM THỬ XỬ LÝ LỖI #N/A TRONG VLOOKUP</w:t>
      </w:r>
      <w:r>
        <w:rPr>
          <w:color w:val="ff0000"/>
        </w:rPr>
      </w:r>
    </w:p>
    <w:p w14:paraId="2DBE92F6">
      <w:pPr>
        <w:pBdr/>
        <w:spacing/>
        <w:ind/>
        <w:rPr/>
      </w:pPr>
      <w:r>
        <w:t xml:space="preserve">Khi bảng tra cứu trả về lỗi #N/A (Not Available), quy trình 4 điểm chuẩn hóa để khắc phục triệt để gồm:</w:t>
      </w:r>
      <w:r/>
      <w:r/>
      <w:r/>
      <w:r/>
    </w:p>
    <w:p w14:paraId="39B86908">
      <w:pPr>
        <w:pStyle w:val="140"/>
        <w:pBdr/>
        <w:spacing/>
        <w:ind/>
        <w:rPr>
          <w:color w:val="ff0000"/>
        </w:rPr>
      </w:pPr>
      <w:r>
        <w:rPr>
          <w:color w:val="ff0000"/>
        </w:rPr>
        <w:t xml:space="preserve">Điểm 1: Kiểm tra khoảng trắng ẩn và ký tự dư thừa (Hidden Spaces)</w:t>
      </w:r>
      <w:r>
        <w:rPr>
          <w:color w:val="ff0000"/>
        </w:rPr>
      </w:r>
      <w:r>
        <w:rPr>
          <w:color w:val="ff0000"/>
        </w:rPr>
      </w:r>
    </w:p>
    <w:p w14:paraId="62D48943">
      <w:pPr>
        <w:pStyle w:val="668"/>
        <w:numPr>
          <w:ilvl w:val="0"/>
          <w:numId w:val="5"/>
        </w:numPr>
        <w:pBdr/>
        <w:spacing/>
        <w:ind/>
        <w:rPr/>
      </w:pPr>
      <w:r>
        <w:t xml:space="preserve">Nguyên nhân: Mã khách hàng dò tìm hoặc trong bảng tham chiếu chứa dấu cách thừa ở đầu hoặc cuối (ví dụ: "KH001 " khác với "KH001").</w:t>
      </w:r>
      <w:r/>
      <w:r/>
      <w:r/>
      <w:r/>
    </w:p>
    <w:p w14:paraId="7A0C56AF">
      <w:pPr>
        <w:pStyle w:val="668"/>
        <w:numPr>
          <w:ilvl w:val="0"/>
          <w:numId w:val="5"/>
        </w:numPr>
        <w:pBdr/>
        <w:spacing/>
        <w:ind/>
        <w:rPr/>
      </w:pPr>
      <w:r>
        <w:t xml:space="preserve">Cách xử lý: Sử dụng hàm TRIM() để làm sạch trước khi tra cứu: =VLOOKUP(TRIM(D2), $I$2:$J$6, 2, FALSE).</w:t>
      </w:r>
      <w:r/>
      <w:r/>
      <w:r/>
      <w:r/>
    </w:p>
    <w:p w14:paraId="7CAC6D04">
      <w:pPr>
        <w:pStyle w:val="140"/>
        <w:pBdr/>
        <w:spacing/>
        <w:ind/>
        <w:rPr>
          <w:color w:val="ff0000"/>
        </w:rPr>
      </w:pPr>
      <w:r>
        <w:rPr>
          <w:color w:val="ff0000"/>
        </w:rPr>
        <w:t xml:space="preserve">Điểm 2: Kiểm tra sự đồng nhất kiểu dữ liệu (Data Type Mismatch)</w:t>
      </w:r>
      <w:r>
        <w:rPr>
          <w:color w:val="ff0000"/>
        </w:rPr>
      </w:r>
      <w:r>
        <w:rPr>
          <w:color w:val="ff0000"/>
        </w:rPr>
      </w:r>
    </w:p>
    <w:p w14:paraId="7581F84F">
      <w:pPr>
        <w:pStyle w:val="668"/>
        <w:numPr>
          <w:ilvl w:val="0"/>
          <w:numId w:val="4"/>
        </w:numPr>
        <w:pBdr/>
        <w:spacing/>
        <w:ind/>
        <w:rPr/>
      </w:pPr>
      <w:r>
        <w:t xml:space="preserve">Nguyên nhân: Một bên lưu dưới dạng Số (Numeric) còn bên kia lưu dưới dạng Chuỗi (Text).</w:t>
      </w:r>
      <w:r/>
      <w:r/>
      <w:r/>
      <w:r/>
    </w:p>
    <w:p w14:paraId="37EB9E15">
      <w:pPr>
        <w:pStyle w:val="668"/>
        <w:numPr>
          <w:ilvl w:val="0"/>
          <w:numId w:val="4"/>
        </w:numPr>
        <w:pBdr/>
        <w:spacing/>
        <w:ind/>
        <w:rPr/>
      </w:pPr>
      <w:r>
        <w:t xml:space="preserve">Cách xử lý: Ép kiểu dữ liệu về cùng một dạng. Dùng VALUE(D2) nếu chuyển từ Text sang Số, hoặc D2&amp;"" để chuyển từ Số sang Text.</w:t>
      </w:r>
      <w:r/>
      <w:r/>
      <w:r/>
      <w:r/>
    </w:p>
    <w:p w14:paraId="62860EBD">
      <w:pPr>
        <w:pStyle w:val="140"/>
        <w:pBdr/>
        <w:spacing/>
        <w:ind/>
        <w:rPr>
          <w:color w:val="ff0000"/>
        </w:rPr>
      </w:pPr>
      <w:r>
        <w:rPr>
          <w:color w:val="ff0000"/>
        </w:rPr>
        <w:t xml:space="preserve">Điểm 3: Kiểm tra vị trí cột tra cứu và địa chỉ vùng tham chiếu (Lookup Column &amp; Range Reference)</w:t>
      </w:r>
      <w:r>
        <w:rPr>
          <w:color w:val="ff0000"/>
        </w:rPr>
      </w:r>
      <w:r>
        <w:rPr>
          <w:color w:val="ff0000"/>
        </w:rPr>
      </w:r>
    </w:p>
    <w:p w14:paraId="1AD4B5EA">
      <w:pPr>
        <w:pStyle w:val="668"/>
        <w:numPr>
          <w:ilvl w:val="0"/>
          <w:numId w:val="3"/>
        </w:numPr>
        <w:pBdr/>
        <w:spacing/>
        <w:ind/>
        <w:rPr/>
      </w:pPr>
      <w:r>
        <w:t xml:space="preserve">Nguyên nhân: Cột chứa khóa tìm kiếm không nằm ở cột đầu tiên của vùng dữ liệu tham chiếu, hoặc vùng tham chiếu không được cố định bằng dấu $ khiến vùng tra cứu bị lệch khi kéo công thức.</w:t>
      </w:r>
      <w:r/>
      <w:r/>
      <w:r/>
      <w:r/>
    </w:p>
    <w:p w14:paraId="371F4CB2">
      <w:pPr>
        <w:pStyle w:val="668"/>
        <w:numPr>
          <w:ilvl w:val="0"/>
          <w:numId w:val="3"/>
        </w:numPr>
        <w:pBdr/>
        <w:spacing/>
        <w:ind/>
        <w:rPr/>
      </w:pPr>
      <w:r>
        <w:t xml:space="preserve">Cách xử lý: Đảm bảo cột khóa nằm ở vị trí đầu tiên của vùng chọn và dùng phím F4 để cố định địa chỉ tuyệt đối (ví dụ: $I$2:$J$6).</w:t>
      </w:r>
      <w:r/>
      <w:r/>
      <w:r/>
      <w:r/>
    </w:p>
    <w:p w14:paraId="7916A5B1">
      <w:pPr>
        <w:pStyle w:val="140"/>
        <w:pBdr/>
        <w:spacing/>
        <w:ind/>
        <w:rPr>
          <w:color w:val="ff0000"/>
        </w:rPr>
      </w:pPr>
      <w:r>
        <w:rPr>
          <w:color w:val="ff0000"/>
        </w:rPr>
        <w:t xml:space="preserve">Điểm 4: Kiểm tra tham số dò tìm chính xác và bẫy lỗi hiển thị</w:t>
      </w:r>
      <w:r>
        <w:rPr>
          <w:color w:val="ff0000"/>
        </w:rPr>
      </w:r>
      <w:r>
        <w:rPr>
          <w:color w:val="ff0000"/>
        </w:rPr>
      </w:r>
    </w:p>
    <w:p w14:paraId="1D689216">
      <w:pPr>
        <w:pStyle w:val="668"/>
        <w:numPr>
          <w:ilvl w:val="0"/>
          <w:numId w:val="2"/>
        </w:numPr>
        <w:pBdr/>
        <w:spacing/>
        <w:ind/>
        <w:rPr/>
      </w:pPr>
      <w:r>
        <w:t xml:space="preserve">Nguyên nhân: Quên nhập tham số FALSE (hoặc 0), hoặc mã cần tìm không tồn tại trong hệ thống.</w:t>
      </w:r>
      <w:r/>
      <w:r/>
      <w:r/>
      <w:r/>
    </w:p>
    <w:p w14:paraId="762A1668">
      <w:pPr>
        <w:pStyle w:val="668"/>
        <w:numPr>
          <w:ilvl w:val="0"/>
          <w:numId w:val="2"/>
        </w:numPr>
        <w:pBdr/>
        <w:spacing/>
        <w:ind/>
        <w:rPr/>
      </w:pPr>
      <w:r>
        <w:t xml:space="preserve">Cách xử lý: Đảm bảo luôn sử dụng FALSE cho dữ liệu tài chính đối soát, kết hợp hàm IFNA() để bẫy lỗi hiển thị giao diện:</w:t>
      </w:r>
      <w:r/>
      <w:r/>
      <w:r/>
      <w:r/>
    </w:p>
    <w:p>
      <w:pPr>
        <w:pBdr/>
        <w:spacing/>
        <w:ind w:left="1417"/>
        <w:rPr/>
      </w:pPr>
      <w:r>
        <w:t xml:space="preserve">=IFNA(VLOOKUP(TRIM(D2), $I$2:$J$6, 2, FALSE), "Không tìm thấy KH").</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65679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221CC9B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020DDB0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30E7242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105B8E4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2026-10-25T16:06:30Z</dcterms:modified>
</cp:coreProperties>
</file>