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rFonts w:ascii="Times New Roman" w:hAnsi="Times New Roman" w:cs="Times New Roman"/>
          <w:color w:val="auto"/>
          <w:sz w:val="48"/>
          <w:szCs w:val="48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color w:val="auto"/>
          <w:sz w:val="48"/>
          <w:szCs w:val="48"/>
        </w:rPr>
        <w:t xml:space="preserve">Quy Trình Vận Hành:</w:t>
      </w:r>
      <w:bookmarkEnd w:id="1"/>
      <w:r/>
      <w:r>
        <w:rPr>
          <w:rFonts w:ascii="Times New Roman" w:hAnsi="Times New Roman" w:cs="Times New Roman"/>
          <w:color w:val="auto"/>
          <w:sz w:val="48"/>
          <w:szCs w:val="4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48"/>
          <w:szCs w:val="48"/>
        </w:rPr>
      </w:sdtPr>
      <w:sdtContent>
        <w:p w14:paraId="7C098915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auto"/>
              <w:sz w:val="48"/>
              <w:szCs w:val="48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auto"/>
              <w:sz w:val="48"/>
              <w:szCs w:val="48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Quy Trình Vận Hành:</w:t>
            </w:r>
            <w:r>
              <w:rPr>
                <w:rStyle w:val="187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8D78958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1.Quy trình nhập kho (Inbound/ Nhận hàng)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6994D44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1.1.Tiếp nhận thông tin và phương tiện.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16637D90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1.2.Dỡ hàng và kiểm đếm.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7806B5F1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1.3.Kiếm trả chất lượng.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51CFA17F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1.4.Dán mã&amp; Cập nhật hệ thống.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91D3081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2.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Quy trình lữu trữ &amp; Sắp xếp (Put-away/Cất hàng)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2B716E27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2.1.Di chuyển lên kệ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063C2F88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2.2.Sắp xếp khoa học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05D2AB51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2.3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.Tuân thủ nguyên tắc quản lý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1AF7FC4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3.Quy trình lấy hàng và soạn đơn (Picking)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C5FEB10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3.1.Tiếp nhận đơn hàng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03E9DDB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3.2.Nhặt hàng theo lộ trình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7A25D1EC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3.3.Gom đơn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70A914D5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4.Quy trình đóng gói và kiểm tra(Packing &amp; QC)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79B5CEE6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4.1.Kiểm tra đối chiếu (QC)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6A379CC6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4.2.Đóng gói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22FC9262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4.3.Dán nhãn và vận chuyện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0030111">
          <w:pPr>
            <w:pStyle w:val="189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5.Quy trình xuất kho và giáo hàng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5A8DA770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5.1.Bàn giao vận chuyển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2BA2F562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5.2.Cập nhật dữ liệu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17828CCD">
          <w:pPr>
            <w:pStyle w:val="190"/>
            <w:pBdr/>
            <w:tabs>
              <w:tab w:val="right" w:leader="dot" w:pos="9360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5.3.Xử lý phát sinh (nếu có)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7BBE288F">
          <w:pPr>
            <w:pBdr/>
            <w:spacing/>
            <w:ind/>
            <w:rPr>
              <w:rFonts w:ascii="Times New Roman" w:hAnsi="Times New Roman" w:eastAsia="Times New Roman" w:cs="Times New Roman"/>
              <w:color w:val="auto"/>
              <w:sz w:val="48"/>
              <w:szCs w:val="48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color w:val="auto"/>
              <w:sz w:val="48"/>
              <w:szCs w:val="48"/>
            </w:rPr>
          </w:r>
          <w:r/>
        </w:p>
      </w:sdtContent>
    </w:sdt>
    <w:p w14:paraId="6977D46B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auto"/>
          <w:sz w:val="48"/>
          <w:szCs w:val="48"/>
        </w:rPr>
      </w:r>
      <w:r>
        <w:rPr>
          <w:rFonts w:ascii="Times New Roman" w:hAnsi="Times New Roman" w:eastAsia="Times New Roman" w:cs="Times New Roman"/>
          <w:color w:val="auto"/>
          <w:sz w:val="48"/>
          <w:szCs w:val="48"/>
        </w:rPr>
      </w:r>
      <w:r/>
    </w:p>
    <w:p w14:paraId="34B2106B">
      <w:pPr>
        <w:pStyle w:val="139"/>
        <w:pBdr/>
        <w:spacing/>
        <w:ind/>
        <w:rPr>
          <w:rFonts w:ascii="Times New Roman" w:hAnsi="Times New Roman" w:cs="Times New Roman"/>
          <w:color w:val="ff0000"/>
          <w:u w:val="single"/>
        </w:rPr>
      </w:pPr>
      <w:r/>
      <w:bookmarkStart w:id="2" w:name="_Toc2"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1.Quy trình nhập kho (Inbound/ Nhận hàng)</w:t>
      </w:r>
      <w:bookmarkEnd w:id="2"/>
      <w:r/>
      <w:r>
        <w:rPr>
          <w:rFonts w:ascii="Times New Roman" w:hAnsi="Times New Roman" w:eastAsia="Times New Roman" w:cs="Times New Roman"/>
          <w:color w:val="ff0000"/>
          <w:u w:val="single"/>
        </w:rPr>
      </w:r>
    </w:p>
    <w:p w14:paraId="1B3206BF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3" w:name="_Toc3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1.1.Tiếp nhận thông tin và phương tiện.</w:t>
      </w:r>
      <w:bookmarkEnd w:id="3"/>
      <w:r/>
      <w:r>
        <w:rPr>
          <w:rFonts w:ascii="Times New Roman" w:hAnsi="Times New Roman" w:eastAsia="Times New Roman" w:cs="Times New Roman"/>
          <w:color w:val="auto"/>
        </w:rPr>
      </w:r>
    </w:p>
    <w:p w14:paraId="167F06FA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1.2.Dỡ hàng và kiểm đếm.</w:t>
      </w:r>
      <w:bookmarkEnd w:id="4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B5A6133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5" w:name="_Toc5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1.3.Kiếm trả chất lượng.</w:t>
      </w:r>
      <w:bookmarkEnd w:id="5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0D2EB3E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6" w:name="_Toc6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1.4.Dán mã&amp; Cập nhật hệ thống.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  <w:bookmarkEnd w:id="6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6C78A9A">
      <w:pPr>
        <w:pStyle w:val="139"/>
        <w:pBdr/>
        <w:spacing/>
        <w:ind/>
        <w:rPr>
          <w:rFonts w:ascii="Times New Roman" w:hAnsi="Times New Roman" w:cs="Times New Roman"/>
          <w:color w:val="ff0000"/>
          <w:highlight w:val="none"/>
          <w:u w:val="single"/>
        </w:rPr>
      </w:pPr>
      <w:r/>
      <w:bookmarkStart w:id="7" w:name="_Toc7"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2.</w:t>
      </w:r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Quy trình lữu trữ &amp; Sắp xếp (Put-away/Cất hàng)</w:t>
      </w:r>
      <w:bookmarkEnd w:id="7"/>
      <w:r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</w:r>
    </w:p>
    <w:p w14:paraId="15D04D67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8" w:name="_Toc8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2.1.Di chuyển lên kệ</w:t>
      </w:r>
      <w:bookmarkEnd w:id="8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0598186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2.2.Sắp xếp khoa học</w:t>
      </w:r>
      <w:bookmarkEnd w:id="9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44B02162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0" w:name="_Toc10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2.3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.Tuân thủ nguyên tắc quản lý</w:t>
      </w:r>
      <w:bookmarkEnd w:id="10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0571E69">
      <w:pPr>
        <w:pStyle w:val="139"/>
        <w:pBdr/>
        <w:spacing/>
        <w:ind/>
        <w:rPr>
          <w:rFonts w:ascii="Times New Roman" w:hAnsi="Times New Roman" w:cs="Times New Roman"/>
          <w:color w:val="ff0000"/>
          <w:highlight w:val="none"/>
          <w:u w:val="single"/>
        </w:rPr>
      </w:pPr>
      <w:r/>
      <w:bookmarkStart w:id="11" w:name="_Toc11"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3.Quy trình lấy hàng và soạn đơn (Picking)</w:t>
      </w:r>
      <w:bookmarkEnd w:id="11"/>
      <w:r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</w:r>
    </w:p>
    <w:p w14:paraId="45FC1A22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3.1.Tiếp nhận đơn hàng </w:t>
      </w:r>
      <w:bookmarkEnd w:id="12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B492D9D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3" w:name="_Toc13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3.2.Nhặt hàng theo lộ trình</w:t>
      </w:r>
      <w:bookmarkEnd w:id="13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355B49D7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4" w:name="_Toc14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3.3.Gom đơn </w:t>
      </w:r>
      <w:bookmarkEnd w:id="14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0EC13BA">
      <w:pPr>
        <w:pBdr/>
        <w:shd w:val="nil"/>
        <w:spacing/>
        <w:ind/>
        <w:rPr>
          <w:rFonts w:ascii="Times New Roman" w:hAnsi="Times New Roman" w:eastAsia="Times New Roman" w:cs="Times New Roman"/>
          <w:color w:val="ff0000"/>
          <w:highlight w:val="none"/>
          <w:u w:val="single"/>
        </w:rPr>
      </w:pPr>
      <w:r>
        <w:rPr>
          <w:highlight w:val="none"/>
        </w:rPr>
      </w:r>
      <w:r>
        <w:rPr>
          <w:highlight w:val="none"/>
        </w:rPr>
      </w:r>
      <w:bookmarkStart w:id="15" w:name="_Toc15"/>
      <w:r>
        <w:rPr>
          <w:highlight w:val="none"/>
        </w:rPr>
        <w:br w:type="page" w:clear="all"/>
      </w:r>
      <w:r>
        <w:rPr>
          <w:highlight w:val="none"/>
        </w:rPr>
      </w:r>
    </w:p>
    <w:p w14:paraId="5DB7D3E7">
      <w:pPr>
        <w:pStyle w:val="139"/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4.Quy trình đóng gói và kiểm tra(Packing &amp; QC)</w:t>
      </w:r>
      <w:bookmarkEnd w:id="15"/>
      <w:r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</w:r>
    </w:p>
    <w:p w14:paraId="115F31F3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6" w:name="_Toc16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4.1.Kiểm tra đối chiếu (QC)</w:t>
      </w:r>
      <w:bookmarkEnd w:id="16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77190477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7" w:name="_Toc17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4.2.Đóng gói </w:t>
      </w:r>
      <w:bookmarkEnd w:id="17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CB4D715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18" w:name="_Toc18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4.3.Dán nhãn và vận chuyện</w:t>
      </w:r>
      <w:bookmarkEnd w:id="18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0FA4B628">
      <w:pPr>
        <w:pStyle w:val="139"/>
        <w:pBdr/>
        <w:spacing/>
        <w:ind/>
        <w:rPr>
          <w:rFonts w:ascii="Times New Roman" w:hAnsi="Times New Roman" w:cs="Times New Roman"/>
          <w:color w:val="ff0000"/>
          <w:highlight w:val="none"/>
          <w:u w:val="single"/>
        </w:rPr>
      </w:pPr>
      <w:r/>
      <w:bookmarkStart w:id="19" w:name="_Toc19"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  <w:t xml:space="preserve">5.Quy trình xuất kho và giáo hàng </w:t>
      </w:r>
      <w:bookmarkEnd w:id="19"/>
      <w:r/>
      <w:r>
        <w:rPr>
          <w:rFonts w:ascii="Times New Roman" w:hAnsi="Times New Roman" w:eastAsia="Times New Roman" w:cs="Times New Roman"/>
          <w:color w:val="ff0000"/>
          <w:highlight w:val="none"/>
          <w:u w:val="single"/>
        </w:rPr>
      </w:r>
    </w:p>
    <w:p w14:paraId="0871DAD6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20" w:name="_Toc20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5.1.Bàn giao vận chuyển</w:t>
      </w:r>
      <w:bookmarkEnd w:id="20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1942B33D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21" w:name="_Toc21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5.2.Cập nhật dữ liệu</w:t>
      </w:r>
      <w:bookmarkEnd w:id="21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2CA0FC7B">
      <w:pPr>
        <w:pStyle w:val="140"/>
        <w:pBdr/>
        <w:spacing/>
        <w:ind/>
        <w:rPr>
          <w:rFonts w:ascii="Times New Roman" w:hAnsi="Times New Roman" w:cs="Times New Roman"/>
          <w:color w:val="auto"/>
          <w:highlight w:val="none"/>
        </w:rPr>
      </w:pPr>
      <w:r/>
      <w:bookmarkStart w:id="22" w:name="_Toc22"/>
      <w:r>
        <w:rPr>
          <w:rFonts w:ascii="Times New Roman" w:hAnsi="Times New Roman" w:eastAsia="Times New Roman" w:cs="Times New Roman"/>
          <w:color w:val="auto"/>
          <w:highlight w:val="none"/>
        </w:rPr>
        <w:t xml:space="preserve">5.3.Xử lý phát sinh (nếu có)</w:t>
      </w:r>
      <w:r>
        <w:rPr>
          <w:rFonts w:ascii="Times New Roman" w:hAnsi="Times New Roman" w:eastAsia="Times New Roman" w:cs="Times New Roman"/>
          <w:color w:val="auto"/>
          <w:highlight w:val="none"/>
        </w:rPr>
      </w:r>
      <w:bookmarkEnd w:id="22"/>
      <w:r/>
      <w:r>
        <w:rPr>
          <w:rFonts w:ascii="Times New Roman" w:hAnsi="Times New Roman" w:eastAsia="Times New Roman" w:cs="Times New Roman"/>
          <w:color w:val="auto"/>
          <w:highlight w:val="none"/>
        </w:rPr>
      </w:r>
    </w:p>
    <w:p w14:paraId="64D51ED3">
      <w:pPr>
        <w:pBdr/>
        <w:spacing/>
        <w:ind w:firstLine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  <w:r>
        <w:rPr>
          <w:rFonts w:ascii="Times New Roman" w:hAnsi="Times New Roman" w:eastAsia="Times New Roman" w:cs="Times New Roman"/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06D70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2026-10-26T03:04:49Z</dcterms:modified>
</cp:coreProperties>
</file>