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PHẦN A — Activity Diagram (Rút tiền không thẻ tại ATM)</w:t>
      </w:r>
    </w:p>
    <w:p>
      <w:pPr>
        <w:spacing w:after="120" w:line="276"/>
      </w:pPr>
      <w:r>
        <w:rPr>
          <w:color w:val="000000"/>
          <w:sz w:val="24"/>
          <w:szCs w:val="24"/>
          <w:rFonts w:ascii="Times New Roman" w:cs="Times New Roman" w:eastAsia="Times New Roman" w:hAnsi="Times New Roman"/>
        </w:rPr>
        <w:t xml:space="preserve">Hoàn thiện Bảng phân rã Node — Swimlane cho quy trình rút tiền không thẻ qua ứng dụng di động RikkeiBank tại cây ATM:</w:t>
      </w:r>
    </w:p>
    <w:p>
      <w:pPr>
        <w:spacing w:after="120" w:line="276"/>
      </w:pPr>
      <w:r>
        <w:rPr>
          <w:color w:val="000000"/>
          <w:sz w:val="24"/>
          <w:szCs w:val="24"/>
          <w:rFonts w:ascii="Times New Roman" w:cs="Times New Roman" w:eastAsia="Times New Roman" w:hAnsi="Times New Roman"/>
        </w:rPr>
        <w:t xml:space="preserve">Trong quy trình này, tác vụ Quét mã QR do Khách hàng chủ động thực hiện trên thiết bị di động. Sau khi hệ thống nhận được yêu cầu, tiến trình kiểm tra điều kiện số dư tài khoản diễn ra tại luồng Hệ thống. Nếu đủ điều kiện, thanh Fork kích hoạt 2 tác vụ thực thi đồng thời: Nhả tiền vật lý tại khay ATM và Gửi tin nhắn SMS thông báo biến động số dư. Cả 2 tiến trình phải hoàn tất thành công và gộp lại tại thanh Join trước khi giao dịch đóng lại hoàn toàn.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Loại Node</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Tên Node / Tác vụ</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Swimlane phụ trách</w:t>
            </w:r>
          </w:p>
        </w:tc>
      </w:tr>
      <w:tr>
        <w:tc>
          <w:tcPr>
            <w:shd w:fill="FFFFFF"/>
          </w:tcPr>
          <w:p>
            <w:pPr>
              <w:spacing w:before="60" w:after="60"/>
            </w:pPr>
            <w:r>
              <w:rPr>
                <w:color w:val="000000"/>
                <w:sz w:val="22"/>
                <w:szCs w:val="22"/>
                <w:rFonts w:ascii="Times New Roman" w:cs="Times New Roman" w:eastAsia="Times New Roman" w:hAnsi="Times New Roman"/>
              </w:rPr>
              <w:t xml:space="preserve">Initial Node</w:t>
            </w:r>
          </w:p>
        </w:tc>
        <w:tc>
          <w:tcPr>
            <w:shd w:fill="FFFFFF"/>
          </w:tcPr>
          <w:p>
            <w:pPr>
              <w:spacing w:before="60" w:after="60"/>
            </w:pPr>
            <w:r>
              <w:rPr>
                <w:color w:val="000000"/>
                <w:sz w:val="22"/>
                <w:szCs w:val="22"/>
                <w:rFonts w:ascii="Times New Roman" w:cs="Times New Roman" w:eastAsia="Times New Roman" w:hAnsi="Times New Roman"/>
              </w:rPr>
              <w:t xml:space="preserve">Bắt đầu</w:t>
            </w:r>
          </w:p>
        </w:tc>
        <w:tc>
          <w:tcPr>
            <w:shd w:fill="FFFFFF"/>
          </w:tcPr>
          <w:p>
            <w:pPr>
              <w:spacing w:before="60" w:after="60"/>
            </w:pPr>
            <w:r>
              <w:rPr>
                <w:color w:val="000000"/>
                <w:sz w:val="22"/>
                <w:szCs w:val="22"/>
                <w:rFonts w:ascii="Times New Roman" w:cs="Times New Roman" w:eastAsia="Times New Roman" w:hAnsi="Times New Roman"/>
              </w:rPr>
              <w:t xml:space="preserve">—</w:t>
            </w:r>
          </w:p>
        </w:tc>
      </w:tr>
      <w:tr>
        <w:tc>
          <w:tcPr>
            <w:shd w:fill="FAFAFA"/>
          </w:tcPr>
          <w:p>
            <w:pPr>
              <w:spacing w:before="60" w:after="60"/>
            </w:pPr>
            <w:r>
              <w:rPr>
                <w:color w:val="000000"/>
                <w:sz w:val="22"/>
                <w:szCs w:val="22"/>
                <w:rFonts w:ascii="Times New Roman" w:cs="Times New Roman" w:eastAsia="Times New Roman" w:hAnsi="Times New Roman"/>
              </w:rPr>
              <w:t xml:space="preserve">Action</w:t>
            </w:r>
          </w:p>
        </w:tc>
        <w:tc>
          <w:tcPr>
            <w:shd w:fill="FAFAFA"/>
          </w:tcPr>
          <w:p>
            <w:pPr>
              <w:spacing w:before="60" w:after="60"/>
            </w:pPr>
            <w:r>
              <w:rPr>
                <w:color w:val="000000"/>
                <w:sz w:val="22"/>
                <w:szCs w:val="22"/>
                <w:rFonts w:ascii="Times New Roman" w:cs="Times New Roman" w:eastAsia="Times New Roman" w:hAnsi="Times New Roman"/>
              </w:rPr>
              <w:t xml:space="preserve">Quét mã QR</w:t>
            </w:r>
          </w:p>
        </w:tc>
        <w:tc>
          <w:tcPr>
            <w:shd w:fill="FAFAFA"/>
          </w:tcPr>
          <w:p>
            <w:pPr>
              <w:spacing w:before="60" w:after="60"/>
            </w:pPr>
            <w:r>
              <w:rPr>
                <w:color w:val="000000"/>
                <w:sz w:val="22"/>
                <w:szCs w:val="22"/>
                <w:rFonts w:ascii="Times New Roman" w:cs="Times New Roman" w:eastAsia="Times New Roman" w:hAnsi="Times New Roman"/>
              </w:rPr>
              <w:t xml:space="preserve">Khách hàng</w:t>
            </w:r>
          </w:p>
        </w:tc>
      </w:tr>
      <w:tr>
        <w:tc>
          <w:tcPr>
            <w:shd w:fill="FFFFFF"/>
          </w:tcPr>
          <w:p>
            <w:pPr>
              <w:spacing w:before="60" w:after="60"/>
            </w:pPr>
            <w:r>
              <w:rPr>
                <w:color w:val="000000"/>
                <w:sz w:val="22"/>
                <w:szCs w:val="22"/>
                <w:rFonts w:ascii="Times New Roman" w:cs="Times New Roman" w:eastAsia="Times New Roman" w:hAnsi="Times New Roman"/>
              </w:rPr>
              <w:t xml:space="preserve">Decision</w:t>
            </w:r>
          </w:p>
        </w:tc>
        <w:tc>
          <w:tcPr>
            <w:shd w:fill="FFFFFF"/>
          </w:tcPr>
          <w:p>
            <w:pPr>
              <w:spacing w:before="60" w:after="60"/>
            </w:pPr>
            <w:r>
              <w:rPr>
                <w:color w:val="000000"/>
                <w:sz w:val="22"/>
                <w:szCs w:val="22"/>
                <w:rFonts w:ascii="Times New Roman" w:cs="Times New Roman" w:eastAsia="Times New Roman" w:hAnsi="Times New Roman"/>
              </w:rPr>
              <w:t xml:space="preserve">Kiểm tra số dư (Đủ / Không đủ)</w:t>
            </w:r>
          </w:p>
        </w:tc>
        <w:tc>
          <w:tcPr>
            <w:shd w:fill="FFFFFF"/>
          </w:tcPr>
          <w:p>
            <w:pPr>
              <w:spacing w:before="60" w:after="60"/>
            </w:pPr>
            <w:r>
              <w:rPr>
                <w:color w:val="000000"/>
                <w:sz w:val="22"/>
                <w:szCs w:val="22"/>
                <w:rFonts w:ascii="Times New Roman" w:cs="Times New Roman" w:eastAsia="Times New Roman" w:hAnsi="Times New Roman"/>
              </w:rPr>
              <w:t xml:space="preserve">Hệ thống</w:t>
            </w:r>
          </w:p>
        </w:tc>
      </w:tr>
      <w:tr>
        <w:tc>
          <w:tcPr>
            <w:shd w:fill="FAFAFA"/>
          </w:tcPr>
          <w:p>
            <w:pPr>
              <w:spacing w:before="60" w:after="60"/>
            </w:pPr>
            <w:r>
              <w:rPr>
                <w:color w:val="000000"/>
                <w:sz w:val="22"/>
                <w:szCs w:val="22"/>
                <w:rFonts w:ascii="Times New Roman" w:cs="Times New Roman" w:eastAsia="Times New Roman" w:hAnsi="Times New Roman"/>
              </w:rPr>
              <w:t xml:space="preserve">Fork</w:t>
            </w:r>
          </w:p>
        </w:tc>
        <w:tc>
          <w:tcPr>
            <w:shd w:fill="FAFAFA"/>
          </w:tcPr>
          <w:p>
            <w:pPr>
              <w:spacing w:before="60" w:after="60"/>
            </w:pPr>
            <w:r>
              <w:rPr>
                <w:color w:val="000000"/>
                <w:sz w:val="22"/>
                <w:szCs w:val="22"/>
                <w:rFonts w:ascii="Times New Roman" w:cs="Times New Roman" w:eastAsia="Times New Roman" w:hAnsi="Times New Roman"/>
              </w:rPr>
              <w:t xml:space="preserve">Tách 2 nhánh xử lý song song khi Đủ số dư</w:t>
            </w:r>
          </w:p>
        </w:tc>
        <w:tc>
          <w:tcPr>
            <w:shd w:fill="FAFAFA"/>
          </w:tcPr>
          <w:p>
            <w:pPr>
              <w:spacing w:before="60" w:after="60"/>
            </w:pPr>
            <w:r>
              <w:rPr>
                <w:color w:val="000000"/>
                <w:sz w:val="22"/>
                <w:szCs w:val="22"/>
                <w:rFonts w:ascii="Times New Roman" w:cs="Times New Roman" w:eastAsia="Times New Roman" w:hAnsi="Times New Roman"/>
              </w:rPr>
              <w:t xml:space="preserve">Hệ thống</w:t>
            </w:r>
          </w:p>
        </w:tc>
      </w:tr>
      <w:tr>
        <w:tc>
          <w:tcPr>
            <w:shd w:fill="FFFFFF"/>
          </w:tcPr>
          <w:p>
            <w:pPr>
              <w:spacing w:before="60" w:after="60"/>
            </w:pPr>
            <w:r>
              <w:rPr>
                <w:color w:val="000000"/>
                <w:sz w:val="22"/>
                <w:szCs w:val="22"/>
                <w:rFonts w:ascii="Times New Roman" w:cs="Times New Roman" w:eastAsia="Times New Roman" w:hAnsi="Times New Roman"/>
              </w:rPr>
              <w:t xml:space="preserve">Action</w:t>
            </w:r>
          </w:p>
        </w:tc>
        <w:tc>
          <w:tcPr>
            <w:shd w:fill="FFFFFF"/>
          </w:tcPr>
          <w:p>
            <w:pPr>
              <w:spacing w:before="60" w:after="60"/>
            </w:pPr>
            <w:r>
              <w:rPr>
                <w:color w:val="000000"/>
                <w:sz w:val="22"/>
                <w:szCs w:val="22"/>
                <w:rFonts w:ascii="Times New Roman" w:cs="Times New Roman" w:eastAsia="Times New Roman" w:hAnsi="Times New Roman"/>
              </w:rPr>
              <w:t xml:space="preserve">Nhả tiền</w:t>
            </w:r>
          </w:p>
        </w:tc>
        <w:tc>
          <w:tcPr>
            <w:shd w:fill="FFFFFF"/>
          </w:tcPr>
          <w:p>
            <w:pPr>
              <w:spacing w:before="60" w:after="60"/>
            </w:pPr>
            <w:r>
              <w:rPr>
                <w:color w:val="000000"/>
                <w:sz w:val="22"/>
                <w:szCs w:val="22"/>
                <w:rFonts w:ascii="Times New Roman" w:cs="Times New Roman" w:eastAsia="Times New Roman" w:hAnsi="Times New Roman"/>
              </w:rPr>
              <w:t xml:space="preserve">Hệ thống</w:t>
            </w:r>
          </w:p>
        </w:tc>
      </w:tr>
      <w:tr>
        <w:tc>
          <w:tcPr>
            <w:shd w:fill="FAFAFA"/>
          </w:tcPr>
          <w:p>
            <w:pPr>
              <w:spacing w:before="60" w:after="60"/>
            </w:pPr>
            <w:r>
              <w:rPr>
                <w:color w:val="000000"/>
                <w:sz w:val="22"/>
                <w:szCs w:val="22"/>
                <w:rFonts w:ascii="Times New Roman" w:cs="Times New Roman" w:eastAsia="Times New Roman" w:hAnsi="Times New Roman"/>
              </w:rPr>
              <w:t xml:space="preserve">Action</w:t>
            </w:r>
          </w:p>
        </w:tc>
        <w:tc>
          <w:tcPr>
            <w:shd w:fill="FAFAFA"/>
          </w:tcPr>
          <w:p>
            <w:pPr>
              <w:spacing w:before="60" w:after="60"/>
            </w:pPr>
            <w:r>
              <w:rPr>
                <w:color w:val="000000"/>
                <w:sz w:val="22"/>
                <w:szCs w:val="22"/>
                <w:rFonts w:ascii="Times New Roman" w:cs="Times New Roman" w:eastAsia="Times New Roman" w:hAnsi="Times New Roman"/>
              </w:rPr>
              <w:t xml:space="preserve">Gửi SMS báo biến động số dư</w:t>
            </w:r>
          </w:p>
        </w:tc>
        <w:tc>
          <w:tcPr>
            <w:shd w:fill="FAFAFA"/>
          </w:tcPr>
          <w:p>
            <w:pPr>
              <w:spacing w:before="60" w:after="60"/>
            </w:pPr>
            <w:r>
              <w:rPr>
                <w:color w:val="000000"/>
                <w:sz w:val="22"/>
                <w:szCs w:val="22"/>
                <w:rFonts w:ascii="Times New Roman" w:cs="Times New Roman" w:eastAsia="Times New Roman" w:hAnsi="Times New Roman"/>
              </w:rPr>
              <w:t xml:space="preserve">Hệ thống</w:t>
            </w:r>
          </w:p>
        </w:tc>
      </w:tr>
      <w:tr>
        <w:tc>
          <w:tcPr>
            <w:shd w:fill="FFFFFF"/>
          </w:tcPr>
          <w:p>
            <w:pPr>
              <w:spacing w:before="60" w:after="60"/>
            </w:pPr>
            <w:r>
              <w:rPr>
                <w:color w:val="000000"/>
                <w:sz w:val="22"/>
                <w:szCs w:val="22"/>
                <w:rFonts w:ascii="Times New Roman" w:cs="Times New Roman" w:eastAsia="Times New Roman" w:hAnsi="Times New Roman"/>
              </w:rPr>
              <w:t xml:space="preserve">Join</w:t>
            </w:r>
          </w:p>
        </w:tc>
        <w:tc>
          <w:tcPr>
            <w:shd w:fill="FFFFFF"/>
          </w:tcPr>
          <w:p>
            <w:pPr>
              <w:spacing w:before="60" w:after="60"/>
            </w:pPr>
            <w:r>
              <w:rPr>
                <w:color w:val="000000"/>
                <w:sz w:val="22"/>
                <w:szCs w:val="22"/>
                <w:rFonts w:ascii="Times New Roman" w:cs="Times New Roman" w:eastAsia="Times New Roman" w:hAnsi="Times New Roman"/>
              </w:rPr>
              <w:t xml:space="preserve">Gộp 2 nhánh xử lý song song</w:t>
            </w:r>
          </w:p>
        </w:tc>
        <w:tc>
          <w:tcPr>
            <w:shd w:fill="FFFFFF"/>
          </w:tcPr>
          <w:p>
            <w:pPr>
              <w:spacing w:before="60" w:after="60"/>
            </w:pPr>
            <w:r>
              <w:rPr>
                <w:color w:val="000000"/>
                <w:sz w:val="22"/>
                <w:szCs w:val="22"/>
                <w:rFonts w:ascii="Times New Roman" w:cs="Times New Roman" w:eastAsia="Times New Roman" w:hAnsi="Times New Roman"/>
              </w:rPr>
              <w:t xml:space="preserve">Hệ thống</w:t>
            </w:r>
          </w:p>
        </w:tc>
      </w:tr>
      <w:tr>
        <w:tc>
          <w:tcPr>
            <w:shd w:fill="FAFAFA"/>
          </w:tcPr>
          <w:p>
            <w:pPr>
              <w:spacing w:before="60" w:after="60"/>
            </w:pPr>
            <w:r>
              <w:rPr>
                <w:color w:val="000000"/>
                <w:sz w:val="22"/>
                <w:szCs w:val="22"/>
                <w:rFonts w:ascii="Times New Roman" w:cs="Times New Roman" w:eastAsia="Times New Roman" w:hAnsi="Times New Roman"/>
              </w:rPr>
              <w:t xml:space="preserve">Final Node</w:t>
            </w:r>
          </w:p>
        </w:tc>
        <w:tc>
          <w:tcPr>
            <w:shd w:fill="FAFAFA"/>
          </w:tcPr>
          <w:p>
            <w:pPr>
              <w:spacing w:before="60" w:after="60"/>
            </w:pPr>
            <w:r>
              <w:rPr>
                <w:color w:val="000000"/>
                <w:sz w:val="22"/>
                <w:szCs w:val="22"/>
                <w:rFonts w:ascii="Times New Roman" w:cs="Times New Roman" w:eastAsia="Times New Roman" w:hAnsi="Times New Roman"/>
              </w:rPr>
              <w:t xml:space="preserve">Kết thúc</w:t>
            </w:r>
          </w:p>
        </w:tc>
        <w:tc>
          <w:tcPr>
            <w:shd w:fill="FAFAFA"/>
          </w:tcPr>
          <w:p>
            <w:pPr>
              <w:spacing w:before="60" w:after="60"/>
            </w:pPr>
            <w:r>
              <w:rPr>
                <w:color w:val="000000"/>
                <w:sz w:val="22"/>
                <w:szCs w:val="22"/>
                <w:rFonts w:ascii="Times New Roman" w:cs="Times New Roman" w:eastAsia="Times New Roman" w:hAnsi="Times New Roman"/>
              </w:rPr>
              <w:t xml:space="preserve">—</w:t>
            </w:r>
          </w:p>
        </w:tc>
      </w:tr>
    </w:tbl>
    <w:p>
      <w:pPr>
        <w:spacing w:after="160"/>
      </w:pPr>
    </w:p>
    <w:p>
      <w:pPr>
        <w:spacing w:before="240" w:after="120"/>
      </w:pPr>
      <w:r>
        <w:rPr>
          <w:b/>
          <w:bCs/>
          <w:color w:val="000000"/>
          <w:sz w:val="26"/>
          <w:szCs w:val="26"/>
          <w:rFonts w:ascii="Times New Roman" w:cs="Times New Roman" w:eastAsia="Times New Roman" w:hAnsi="Times New Roman"/>
        </w:rPr>
        <w:t xml:space="preserve">PHẦN B — Use Case Diagram (Hệ thống ATM RikkeiBank)</w:t>
      </w:r>
    </w:p>
    <w:p>
      <w:pPr>
        <w:spacing w:after="120" w:line="276"/>
      </w:pPr>
      <w:r>
        <w:rPr>
          <w:color w:val="000000"/>
          <w:sz w:val="24"/>
          <w:szCs w:val="24"/>
          <w:rFonts w:ascii="Times New Roman" w:cs="Times New Roman" w:eastAsia="Times New Roman" w:hAnsi="Times New Roman"/>
        </w:rPr>
        <w:t xml:space="preserve">Hoàn thiện Bảng quan hệ giữa các Use Case trong hệ thống ATM RikkeiBank:</w:t>
      </w:r>
    </w:p>
    <w:p>
      <w:pPr>
        <w:spacing w:after="120" w:line="276"/>
      </w:pPr>
      <w:r>
        <w:rPr>
          <w:color w:val="000000"/>
          <w:sz w:val="24"/>
          <w:szCs w:val="24"/>
          <w:rFonts w:ascii="Times New Roman" w:cs="Times New Roman" w:eastAsia="Times New Roman" w:hAnsi="Times New Roman"/>
        </w:rPr>
        <w:t xml:space="preserve">Trong mô hình Use Case, mối quan hệ 'include' thể hiện luồng bắt buộc: người dùng bắt buộc phải Đăng nhập (thông qua việc quét mã QR xác thực thành công) thì mới có thể thực hiện Use Case Rút tiền. Mối quan hệ 'extend' thể hiện luồng mở rộng tùy chọn: sau khi Rút tiền thành công, khách hàng có thể chọn In hóa đơn giao dịch hoặc bỏ qua. Hai hình thức 'Rút tiền tiêu chuẩn' (cho phép chọn mệnh giá/số tiền lẻ) và 'Rút tiền nhanh' (rút các định mức cố định có sẵn) đều kế thừa các tính năng cơ bản từ Use Case cha là 'Rút tiền'.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Use Case A</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Use Case B</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Quan hệ</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Giải thích logic</w:t>
            </w:r>
          </w:p>
        </w:tc>
      </w:tr>
      <w:tr>
        <w:tc>
          <w:tcPr>
            <w:shd w:fill="FFFFFF"/>
          </w:tcPr>
          <w:p>
            <w:pPr>
              <w:spacing w:before="60" w:after="60"/>
            </w:pPr>
            <w:r>
              <w:rPr>
                <w:color w:val="000000"/>
                <w:sz w:val="22"/>
                <w:szCs w:val="22"/>
                <w:rFonts w:ascii="Times New Roman" w:cs="Times New Roman" w:eastAsia="Times New Roman" w:hAnsi="Times New Roman"/>
              </w:rPr>
              <w:t xml:space="preserve">Rút tiền</w:t>
            </w:r>
          </w:p>
        </w:tc>
        <w:tc>
          <w:tcPr>
            <w:shd w:fill="FFFFFF"/>
          </w:tcPr>
          <w:p>
            <w:pPr>
              <w:spacing w:before="60" w:after="60"/>
            </w:pPr>
            <w:r>
              <w:rPr>
                <w:color w:val="000000"/>
                <w:sz w:val="22"/>
                <w:szCs w:val="22"/>
                <w:rFonts w:ascii="Times New Roman" w:cs="Times New Roman" w:eastAsia="Times New Roman" w:hAnsi="Times New Roman"/>
              </w:rPr>
              <w:t xml:space="preserve">Đăng nhập</w:t>
            </w:r>
          </w:p>
        </w:tc>
        <w:tc>
          <w:tcPr>
            <w:shd w:fill="FFFFFF"/>
          </w:tcPr>
          <w:p>
            <w:pPr>
              <w:spacing w:before="60" w:after="60"/>
            </w:pPr>
            <w:r>
              <w:rPr>
                <w:color w:val="000000"/>
                <w:sz w:val="22"/>
                <w:szCs w:val="22"/>
                <w:rFonts w:ascii="Times New Roman" w:cs="Times New Roman" w:eastAsia="Times New Roman" w:hAnsi="Times New Roman"/>
              </w:rPr>
              <w:t xml:space="preserve">[include]</w:t>
            </w:r>
          </w:p>
        </w:tc>
        <w:tc>
          <w:tcPr>
            <w:shd w:fill="FFFFFF"/>
          </w:tcPr>
          <w:p>
            <w:pPr>
              <w:spacing w:before="60" w:after="60"/>
            </w:pPr>
            <w:r>
              <w:rPr>
                <w:color w:val="000000"/>
                <w:sz w:val="22"/>
                <w:szCs w:val="22"/>
                <w:rFonts w:ascii="Times New Roman" w:cs="Times New Roman" w:eastAsia="Times New Roman" w:hAnsi="Times New Roman"/>
              </w:rPr>
              <w:t xml:space="preserve">Phải đăng nhập (quét mã QR) trước khi rút tiền (Bắt buộc)</w:t>
            </w:r>
          </w:p>
        </w:tc>
      </w:tr>
      <w:tr>
        <w:tc>
          <w:tcPr>
            <w:shd w:fill="FAFAFA"/>
          </w:tcPr>
          <w:p>
            <w:pPr>
              <w:spacing w:before="60" w:after="60"/>
            </w:pPr>
            <w:r>
              <w:rPr>
                <w:color w:val="000000"/>
                <w:sz w:val="22"/>
                <w:szCs w:val="22"/>
                <w:rFonts w:ascii="Times New Roman" w:cs="Times New Roman" w:eastAsia="Times New Roman" w:hAnsi="Times New Roman"/>
              </w:rPr>
              <w:t xml:space="preserve">Rút tiền</w:t>
            </w:r>
          </w:p>
        </w:tc>
        <w:tc>
          <w:tcPr>
            <w:shd w:fill="FAFAFA"/>
          </w:tcPr>
          <w:p>
            <w:pPr>
              <w:spacing w:before="60" w:after="60"/>
            </w:pPr>
            <w:r>
              <w:rPr>
                <w:color w:val="000000"/>
                <w:sz w:val="22"/>
                <w:szCs w:val="22"/>
                <w:rFonts w:ascii="Times New Roman" w:cs="Times New Roman" w:eastAsia="Times New Roman" w:hAnsi="Times New Roman"/>
              </w:rPr>
              <w:t xml:space="preserve">In hóa đơn giao dịch</w:t>
            </w:r>
          </w:p>
        </w:tc>
        <w:tc>
          <w:tcPr>
            <w:shd w:fill="FAFAFA"/>
          </w:tcPr>
          <w:p>
            <w:pPr>
              <w:spacing w:before="60" w:after="60"/>
            </w:pPr>
            <w:r>
              <w:rPr>
                <w:color w:val="000000"/>
                <w:sz w:val="22"/>
                <w:szCs w:val="22"/>
                <w:rFonts w:ascii="Times New Roman" w:cs="Times New Roman" w:eastAsia="Times New Roman" w:hAnsi="Times New Roman"/>
              </w:rPr>
              <w:t xml:space="preserve">[extend]</w:t>
            </w:r>
          </w:p>
        </w:tc>
        <w:tc>
          <w:tcPr>
            <w:shd w:fill="FAFAFA"/>
          </w:tcPr>
          <w:p>
            <w:pPr>
              <w:spacing w:before="60" w:after="60"/>
            </w:pPr>
            <w:r>
              <w:rPr>
                <w:color w:val="000000"/>
                <w:sz w:val="22"/>
                <w:szCs w:val="22"/>
                <w:rFonts w:ascii="Times New Roman" w:cs="Times New Roman" w:eastAsia="Times New Roman" w:hAnsi="Times New Roman"/>
              </w:rPr>
              <w:t xml:space="preserve">Khách hàng có thể tùy chọn in hóa đơn sau khi rút tiền thành công (Không bắt buộc)</w:t>
            </w:r>
          </w:p>
        </w:tc>
      </w:tr>
      <w:tr>
        <w:tc>
          <w:tcPr>
            <w:shd w:fill="FFFFFF"/>
          </w:tcPr>
          <w:p>
            <w:pPr>
              <w:spacing w:before="60" w:after="60"/>
            </w:pPr>
            <w:r>
              <w:rPr>
                <w:color w:val="000000"/>
                <w:sz w:val="22"/>
                <w:szCs w:val="22"/>
                <w:rFonts w:ascii="Times New Roman" w:cs="Times New Roman" w:eastAsia="Times New Roman" w:hAnsi="Times New Roman"/>
              </w:rPr>
              <w:t xml:space="preserve">Rút tiền</w:t>
            </w:r>
          </w:p>
        </w:tc>
        <w:tc>
          <w:tcPr>
            <w:shd w:fill="FFFFFF"/>
          </w:tcPr>
          <w:p>
            <w:pPr>
              <w:spacing w:before="60" w:after="60"/>
            </w:pPr>
            <w:r>
              <w:rPr>
                <w:color w:val="000000"/>
                <w:sz w:val="22"/>
                <w:szCs w:val="22"/>
                <w:rFonts w:ascii="Times New Roman" w:cs="Times New Roman" w:eastAsia="Times New Roman" w:hAnsi="Times New Roman"/>
              </w:rPr>
              <w:t xml:space="preserve">Rút tiền tiêu chuẩn</w:t>
            </w:r>
          </w:p>
        </w:tc>
        <w:tc>
          <w:tcPr>
            <w:shd w:fill="FFFFFF"/>
          </w:tcPr>
          <w:p>
            <w:pPr>
              <w:spacing w:before="60" w:after="60"/>
            </w:pPr>
            <w:r>
              <w:rPr>
                <w:color w:val="000000"/>
                <w:sz w:val="22"/>
                <w:szCs w:val="22"/>
                <w:rFonts w:ascii="Times New Roman" w:cs="Times New Roman" w:eastAsia="Times New Roman" w:hAnsi="Times New Roman"/>
              </w:rPr>
              <w:t xml:space="preserve">[generalization]</w:t>
            </w:r>
          </w:p>
        </w:tc>
        <w:tc>
          <w:tcPr>
            <w:shd w:fill="FFFFFF"/>
          </w:tcPr>
          <w:p>
            <w:pPr>
              <w:spacing w:before="60" w:after="60"/>
            </w:pPr>
            <w:r>
              <w:rPr>
                <w:color w:val="000000"/>
                <w:sz w:val="22"/>
                <w:szCs w:val="22"/>
                <w:rFonts w:ascii="Times New Roman" w:cs="Times New Roman" w:eastAsia="Times New Roman" w:hAnsi="Times New Roman"/>
              </w:rPr>
              <w:t xml:space="preserve">Là một dạng chuyên biệt của Rút tiền (Kế thừa)</w:t>
            </w:r>
          </w:p>
        </w:tc>
      </w:tr>
      <w:tr>
        <w:tc>
          <w:tcPr>
            <w:shd w:fill="FAFAFA"/>
          </w:tcPr>
          <w:p>
            <w:pPr>
              <w:spacing w:before="60" w:after="60"/>
            </w:pPr>
            <w:r>
              <w:rPr>
                <w:color w:val="000000"/>
                <w:sz w:val="22"/>
                <w:szCs w:val="22"/>
                <w:rFonts w:ascii="Times New Roman" w:cs="Times New Roman" w:eastAsia="Times New Roman" w:hAnsi="Times New Roman"/>
              </w:rPr>
              <w:t xml:space="preserve">Rút tiền</w:t>
            </w:r>
          </w:p>
        </w:tc>
        <w:tc>
          <w:tcPr>
            <w:shd w:fill="FAFAFA"/>
          </w:tcPr>
          <w:p>
            <w:pPr>
              <w:spacing w:before="60" w:after="60"/>
            </w:pPr>
            <w:r>
              <w:rPr>
                <w:color w:val="000000"/>
                <w:sz w:val="22"/>
                <w:szCs w:val="22"/>
                <w:rFonts w:ascii="Times New Roman" w:cs="Times New Roman" w:eastAsia="Times New Roman" w:hAnsi="Times New Roman"/>
              </w:rPr>
              <w:t xml:space="preserve">Rút tiền nhanh</w:t>
            </w:r>
          </w:p>
        </w:tc>
        <w:tc>
          <w:tcPr>
            <w:shd w:fill="FAFAFA"/>
          </w:tcPr>
          <w:p>
            <w:pPr>
              <w:spacing w:before="60" w:after="60"/>
            </w:pPr>
            <w:r>
              <w:rPr>
                <w:color w:val="000000"/>
                <w:sz w:val="22"/>
                <w:szCs w:val="22"/>
                <w:rFonts w:ascii="Times New Roman" w:cs="Times New Roman" w:eastAsia="Times New Roman" w:hAnsi="Times New Roman"/>
              </w:rPr>
              <w:t xml:space="preserve">[generalization]</w:t>
            </w:r>
          </w:p>
        </w:tc>
        <w:tc>
          <w:tcPr>
            <w:shd w:fill="FAFAFA"/>
          </w:tcPr>
          <w:p>
            <w:pPr>
              <w:spacing w:before="60" w:after="60"/>
            </w:pPr>
            <w:r>
              <w:rPr>
                <w:color w:val="000000"/>
                <w:sz w:val="22"/>
                <w:szCs w:val="22"/>
                <w:rFonts w:ascii="Times New Roman" w:cs="Times New Roman" w:eastAsia="Times New Roman" w:hAnsi="Times New Roman"/>
              </w:rPr>
              <w:t xml:space="preserve">Là một dạng chuyên biệt của Rút tiền không cần chọn mệnh giá (Kế thừa)</w:t>
            </w:r>
          </w:p>
        </w:tc>
      </w:tr>
    </w:tbl>
    <w:p>
      <w:pPr>
        <w:spacing w:after="160"/>
      </w:pPr>
    </w:p>
    <w:p>
      <w:pPr>
        <w:spacing w:before="240" w:after="120"/>
      </w:pPr>
      <w:r>
        <w:rPr>
          <w:b/>
          <w:bCs/>
          <w:color w:val="000000"/>
          <w:sz w:val="26"/>
          <w:szCs w:val="26"/>
          <w:rFonts w:ascii="Times New Roman" w:cs="Times New Roman" w:eastAsia="Times New Roman" w:hAnsi="Times New Roman"/>
        </w:rPr>
        <w:t xml:space="preserve">Phân Tích Logic Nghiệp Vụ Kỹ Thuật</w:t>
      </w:r>
    </w:p>
    <w:p>
      <w:pPr>
        <w:spacing w:after="120" w:line="276"/>
      </w:pPr>
      <w:r>
        <w:rPr>
          <w:color w:val="000000"/>
          <w:sz w:val="24"/>
          <w:szCs w:val="24"/>
          <w:rFonts w:ascii="Times New Roman" w:cs="Times New Roman" w:eastAsia="Times New Roman" w:hAnsi="Times New Roman"/>
        </w:rPr>
        <w:t xml:space="preserve">Phân tích chuyên sâu về lý do lựa chọn mô hình hóa chuẩn UML cho cả 2 sơ đồ:</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Xử lý song song Fork/Join trong Activity Diagram: Việc tách luồng bằng thanh Fork đảm bảo trải nghiệm khách hàng tối ưu và tính toàn vẹn dữ liệu. Hệ thống vừa gửi lệnh phần cứng điều khiển khay nhả tiền của máy ATM, vừa gọi dịch vụ SMS Gateway gửi tin nhắn tức thì cho khách hàng mà không bắt một tiến trình phải chờ đợi tiến trình còn lại.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Mối quan hệ Include vs Extend: 'Đăng nhập' là tiền điều kiện bắt buộc (include) vì nếu không có token xác thực từ mã QR, hệ thống ngân hàng tuyệt đối không được phép mở giao dịch rút tiền. Ngược lại, 'In hóa đơn' là hành vi bổ sung (extend) phụ thuộc vào nhu cầu thực tế của người dùng và lượng giấy in còn lại trong cây ATM.</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Tính kế thừa Generalization: Việc chia 'Rút tiền' thành 2 Use Case con là 'Rút tiền tiêu chuẩn' và 'Rút tiền nhanh' giúp làm rõ trải nghiệm UI/UX tại màn hình máy ATM, đồng thời giúp nhóm lập trình backend dễ dàng thiết kế Pattern Polymorphism khi xây dựng mã nguồn.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2026-09-09T17:11:25.473Z</dcterms:created>
  <dcterms:modified xsi:type="dcterms:W3CDTF">2026-09-09T17:11:25.473Z</dcterms:modified>
</cp:coreProperties>
</file>

<file path=docProps/custom.xml><?xml version="1.0" encoding="utf-8"?>
<Properties xmlns="http://schemas.openxmlformats.org/officeDocument/2006/custom-properties" xmlns:vt="http://schemas.openxmlformats.org/officeDocument/2006/docPropsVTypes"/>
</file>