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Phần 1: Lập bảng phân tích Input/Output và ma trận điều kiện tính cước</w:t>
      </w:r>
    </w:p>
    <w:p>
      <w:pPr>
        <w:spacing w:after="120" w:line="276"/>
      </w:pPr>
      <w:r>
        <w:rPr>
          <w:color w:val="000000"/>
          <w:sz w:val="24"/>
          <w:szCs w:val="24"/>
          <w:rFonts w:ascii="Times New Roman" w:cs="Times New Roman" w:eastAsia="Times New Roman" w:hAnsi="Times New Roman"/>
        </w:rPr>
        <w:t xml:space="preserve">Trong phần này, tôi tiến hành phân tích chi tiết các luồng dữ liệu vào (Input) và dữ liệu ra (Output) của phân hệ tính cước vận đơn, đồng thời xây dựng ma trận điều kiện xử lý các bẫy dữ liệu và quy tắc nghiệp vụ theo đúng yêu cầu của bài toán RikkeiLogistics.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Thành phần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Tên biến / Trường dữ liệu</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Kiểu dữ liệu</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Ràng buộc &amp; Quy tắc kiểm tra (Validation)</w:t>
            </w:r>
          </w:p>
        </w:tc>
      </w:tr>
      <w:tr>
        <w:tc>
          <w:tcPr>
            <w:shd w:fill="FFFFFF"/>
          </w:tcPr>
          <w:p>
            <w:pPr>
              <w:spacing w:before="60" w:after="60"/>
            </w:pPr>
            <w:r>
              <w:rPr>
                <w:color w:val="000000"/>
                <w:sz w:val="22"/>
                <w:szCs w:val="22"/>
                <w:rFonts w:ascii="Times New Roman" w:cs="Times New Roman" w:eastAsia="Times New Roman" w:hAnsi="Times New Roman"/>
              </w:rPr>
              <w:t xml:space="preserve">Input</w:t>
            </w:r>
          </w:p>
        </w:tc>
        <w:tc>
          <w:tcPr>
            <w:shd w:fill="FFFFFF"/>
          </w:tcPr>
          <w:p>
            <w:pPr>
              <w:spacing w:before="60" w:after="60"/>
            </w:pPr>
            <w:r>
              <w:rPr>
                <w:color w:val="000000"/>
                <w:sz w:val="22"/>
                <w:szCs w:val="22"/>
                <w:rFonts w:ascii="Times New Roman" w:cs="Times New Roman" w:eastAsia="Times New Roman" w:hAnsi="Times New Roman"/>
              </w:rPr>
              <w:t xml:space="preserve">Dài, Rộng, Cao</w:t>
            </w:r>
          </w:p>
        </w:tc>
        <w:tc>
          <w:tcPr>
            <w:shd w:fill="FFFFFF"/>
          </w:tcPr>
          <w:p>
            <w:pPr>
              <w:spacing w:before="60" w:after="60"/>
            </w:pPr>
            <w:r>
              <w:rPr>
                <w:color w:val="000000"/>
                <w:sz w:val="22"/>
                <w:szCs w:val="22"/>
                <w:rFonts w:ascii="Times New Roman" w:cs="Times New Roman" w:eastAsia="Times New Roman" w:hAnsi="Times New Roman"/>
              </w:rPr>
              <w:t xml:space="preserve">Float / Number</w:t>
            </w:r>
          </w:p>
        </w:tc>
        <w:tc>
          <w:tcPr>
            <w:shd w:fill="FFFFFF"/>
          </w:tcPr>
          <w:p>
            <w:pPr>
              <w:spacing w:before="60" w:after="60"/>
            </w:pPr>
            <w:r>
              <w:rPr>
                <w:color w:val="000000"/>
                <w:sz w:val="22"/>
                <w:szCs w:val="22"/>
                <w:rFonts w:ascii="Times New Roman" w:cs="Times New Roman" w:eastAsia="Times New Roman" w:hAnsi="Times New Roman"/>
              </w:rPr>
              <w:t xml:space="preserve">Phải là số dương (&gt;0). Bất kỳ chiều nào vượt 150cm sẽ kích hoạt cơ chế từ chối do vượt chuẩn băng chuyền.</w:t>
            </w:r>
          </w:p>
        </w:tc>
      </w:tr>
      <w:tr>
        <w:tc>
          <w:tcPr>
            <w:shd w:fill="FAFAFA"/>
          </w:tcPr>
          <w:p>
            <w:pPr>
              <w:spacing w:before="60" w:after="60"/>
            </w:pPr>
            <w:r>
              <w:rPr>
                <w:color w:val="000000"/>
                <w:sz w:val="22"/>
                <w:szCs w:val="22"/>
                <w:rFonts w:ascii="Times New Roman" w:cs="Times New Roman" w:eastAsia="Times New Roman" w:hAnsi="Times New Roman"/>
              </w:rPr>
              <w:t xml:space="preserve">Input</w:t>
            </w:r>
          </w:p>
        </w:tc>
        <w:tc>
          <w:tcPr>
            <w:shd w:fill="FAFAFA"/>
          </w:tcPr>
          <w:p>
            <w:pPr>
              <w:spacing w:before="60" w:after="60"/>
            </w:pPr>
            <w:r>
              <w:rPr>
                <w:color w:val="000000"/>
                <w:sz w:val="22"/>
                <w:szCs w:val="22"/>
                <w:rFonts w:ascii="Times New Roman" w:cs="Times New Roman" w:eastAsia="Times New Roman" w:hAnsi="Times New Roman"/>
              </w:rPr>
              <w:t xml:space="preserve">Khối lượng thực tế</w:t>
            </w:r>
          </w:p>
        </w:tc>
        <w:tc>
          <w:tcPr>
            <w:shd w:fill="FAFAFA"/>
          </w:tcPr>
          <w:p>
            <w:pPr>
              <w:spacing w:before="60" w:after="60"/>
            </w:pPr>
            <w:r>
              <w:rPr>
                <w:color w:val="000000"/>
                <w:sz w:val="22"/>
                <w:szCs w:val="22"/>
                <w:rFonts w:ascii="Times New Roman" w:cs="Times New Roman" w:eastAsia="Times New Roman" w:hAnsi="Times New Roman"/>
              </w:rPr>
              <w:t xml:space="preserve">Float / Number</w:t>
            </w:r>
          </w:p>
        </w:tc>
        <w:tc>
          <w:tcPr>
            <w:shd w:fill="FAFAFA"/>
          </w:tcPr>
          <w:p>
            <w:pPr>
              <w:spacing w:before="60" w:after="60"/>
            </w:pPr>
            <w:r>
              <w:rPr>
                <w:color w:val="000000"/>
                <w:sz w:val="22"/>
                <w:szCs w:val="22"/>
                <w:rFonts w:ascii="Times New Roman" w:cs="Times New Roman" w:eastAsia="Times New Roman" w:hAnsi="Times New Roman"/>
              </w:rPr>
              <w:t xml:space="preserve">Phải là số dương (&gt;0). Dùng để so sánh với khối lượng quy đổi thể tích.</w:t>
            </w:r>
          </w:p>
        </w:tc>
      </w:tr>
      <w:tr>
        <w:tc>
          <w:tcPr>
            <w:shd w:fill="FFFFFF"/>
          </w:tcPr>
          <w:p>
            <w:pPr>
              <w:spacing w:before="60" w:after="60"/>
            </w:pPr>
            <w:r>
              <w:rPr>
                <w:color w:val="000000"/>
                <w:sz w:val="22"/>
                <w:szCs w:val="22"/>
                <w:rFonts w:ascii="Times New Roman" w:cs="Times New Roman" w:eastAsia="Times New Roman" w:hAnsi="Times New Roman"/>
              </w:rPr>
              <w:t xml:space="preserve">Input</w:t>
            </w:r>
          </w:p>
        </w:tc>
        <w:tc>
          <w:tcPr>
            <w:shd w:fill="FFFFFF"/>
          </w:tcPr>
          <w:p>
            <w:pPr>
              <w:spacing w:before="60" w:after="60"/>
            </w:pPr>
            <w:r>
              <w:rPr>
                <w:color w:val="000000"/>
                <w:sz w:val="22"/>
                <w:szCs w:val="22"/>
                <w:rFonts w:ascii="Times New Roman" w:cs="Times New Roman" w:eastAsia="Times New Roman" w:hAnsi="Times New Roman"/>
              </w:rPr>
              <w:t xml:space="preserve">Loại dịch vụ</w:t>
            </w:r>
          </w:p>
        </w:tc>
        <w:tc>
          <w:tcPr>
            <w:shd w:fill="FFFFFF"/>
          </w:tcPr>
          <w:p>
            <w:pPr>
              <w:spacing w:before="60" w:after="60"/>
            </w:pPr>
            <w:r>
              <w:rPr>
                <w:color w:val="000000"/>
                <w:sz w:val="22"/>
                <w:szCs w:val="22"/>
                <w:rFonts w:ascii="Times New Roman" w:cs="Times New Roman" w:eastAsia="Times New Roman" w:hAnsi="Times New Roman"/>
              </w:rPr>
              <w:t xml:space="preserve">Enum</w:t>
            </w:r>
          </w:p>
        </w:tc>
        <w:tc>
          <w:tcPr>
            <w:shd w:fill="FFFFFF"/>
          </w:tcPr>
          <w:p>
            <w:pPr>
              <w:spacing w:before="60" w:after="60"/>
            </w:pPr>
            <w:r>
              <w:rPr>
                <w:color w:val="000000"/>
                <w:sz w:val="22"/>
                <w:szCs w:val="22"/>
                <w:rFonts w:ascii="Times New Roman" w:cs="Times New Roman" w:eastAsia="Times New Roman" w:hAnsi="Times New Roman"/>
              </w:rPr>
              <w:t xml:space="preserve">Giá trị bắt buộc thuộc một trong ba loại: 'Economy', 'Express', 'Fast Track'.</w:t>
            </w:r>
          </w:p>
        </w:tc>
      </w:tr>
      <w:tr>
        <w:tc>
          <w:tcPr>
            <w:shd w:fill="FAFAFA"/>
          </w:tcPr>
          <w:p>
            <w:pPr>
              <w:spacing w:before="60" w:after="60"/>
            </w:pPr>
            <w:r>
              <w:rPr>
                <w:color w:val="000000"/>
                <w:sz w:val="22"/>
                <w:szCs w:val="22"/>
                <w:rFonts w:ascii="Times New Roman" w:cs="Times New Roman" w:eastAsia="Times New Roman" w:hAnsi="Times New Roman"/>
              </w:rPr>
              <w:t xml:space="preserve">Input</w:t>
            </w:r>
          </w:p>
        </w:tc>
        <w:tc>
          <w:tcPr>
            <w:shd w:fill="FAFAFA"/>
          </w:tcPr>
          <w:p>
            <w:pPr>
              <w:spacing w:before="60" w:after="60"/>
            </w:pPr>
            <w:r>
              <w:rPr>
                <w:color w:val="000000"/>
                <w:sz w:val="22"/>
                <w:szCs w:val="22"/>
                <w:rFonts w:ascii="Times New Roman" w:cs="Times New Roman" w:eastAsia="Times New Roman" w:hAnsi="Times New Roman"/>
              </w:rPr>
              <w:t xml:space="preserve">Mã bưu chính / Địa chỉ</w:t>
            </w:r>
          </w:p>
        </w:tc>
        <w:tc>
          <w:tcPr>
            <w:shd w:fill="FAFAFA"/>
          </w:tcPr>
          <w:p>
            <w:pPr>
              <w:spacing w:before="60" w:after="60"/>
            </w:pPr>
            <w:r>
              <w:rPr>
                <w:color w:val="000000"/>
                <w:sz w:val="22"/>
                <w:szCs w:val="22"/>
                <w:rFonts w:ascii="Times New Roman" w:cs="Times New Roman" w:eastAsia="Times New Roman" w:hAnsi="Times New Roman"/>
              </w:rPr>
              <w:t xml:space="preserve">String</w:t>
            </w:r>
          </w:p>
        </w:tc>
        <w:tc>
          <w:tcPr>
            <w:shd w:fill="FAFAFA"/>
          </w:tcPr>
          <w:p>
            <w:pPr>
              <w:spacing w:before="60" w:after="60"/>
            </w:pPr>
            <w:r>
              <w:rPr>
                <w:color w:val="000000"/>
                <w:sz w:val="22"/>
                <w:szCs w:val="22"/>
                <w:rFonts w:ascii="Times New Roman" w:cs="Times New Roman" w:eastAsia="Times New Roman" w:hAnsi="Times New Roman"/>
              </w:rPr>
              <w:t xml:space="preserve">Kiểm tra tính hợp lệ của mã bưu chính. Nếu thuộc vùng sâu/vùng cao/hải đảo sẽ áp dụng phụ phí 20%.</w:t>
            </w:r>
          </w:p>
        </w:tc>
      </w:tr>
      <w:tr>
        <w:tc>
          <w:tcPr>
            <w:shd w:fill="FFFFFF"/>
          </w:tcPr>
          <w:p>
            <w:pPr>
              <w:spacing w:before="60" w:after="60"/>
            </w:pPr>
            <w:r>
              <w:rPr>
                <w:color w:val="000000"/>
                <w:sz w:val="22"/>
                <w:szCs w:val="22"/>
                <w:rFonts w:ascii="Times New Roman" w:cs="Times New Roman" w:eastAsia="Times New Roman" w:hAnsi="Times New Roman"/>
              </w:rPr>
              <w:t xml:space="preserve">Input</w:t>
            </w:r>
          </w:p>
        </w:tc>
        <w:tc>
          <w:tcPr>
            <w:shd w:fill="FFFFFF"/>
          </w:tcPr>
          <w:p>
            <w:pPr>
              <w:spacing w:before="60" w:after="60"/>
            </w:pPr>
            <w:r>
              <w:rPr>
                <w:color w:val="000000"/>
                <w:sz w:val="22"/>
                <w:szCs w:val="22"/>
                <w:rFonts w:ascii="Times New Roman" w:cs="Times New Roman" w:eastAsia="Times New Roman" w:hAnsi="Times New Roman"/>
              </w:rPr>
              <w:t xml:space="preserve">Giá trị khai giá</w:t>
            </w:r>
          </w:p>
        </w:tc>
        <w:tc>
          <w:tcPr>
            <w:shd w:fill="FFFFFF"/>
          </w:tcPr>
          <w:p>
            <w:pPr>
              <w:spacing w:before="60" w:after="60"/>
            </w:pPr>
            <w:r>
              <w:rPr>
                <w:color w:val="000000"/>
                <w:sz w:val="22"/>
                <w:szCs w:val="22"/>
                <w:rFonts w:ascii="Times New Roman" w:cs="Times New Roman" w:eastAsia="Times New Roman" w:hAnsi="Times New Roman"/>
              </w:rPr>
              <w:t xml:space="preserve">Float / Number</w:t>
            </w:r>
          </w:p>
        </w:tc>
        <w:tc>
          <w:tcPr>
            <w:shd w:fill="FFFFFF"/>
          </w:tcPr>
          <w:p>
            <w:pPr>
              <w:spacing w:before="60" w:after="60"/>
            </w:pPr>
            <w:r>
              <w:rPr>
                <w:color w:val="000000"/>
                <w:sz w:val="22"/>
                <w:szCs w:val="22"/>
                <w:rFonts w:ascii="Times New Roman" w:cs="Times New Roman" w:eastAsia="Times New Roman" w:hAnsi="Times New Roman"/>
              </w:rPr>
              <w:t xml:space="preserve">Số tiền khai báo bưu kiện. Nếu &gt; 5.000.000đ bắt buộc cộng thêm 0.5% phí bảo hiểm.</w:t>
            </w:r>
          </w:p>
        </w:tc>
      </w:tr>
      <w:tr>
        <w:tc>
          <w:tcPr>
            <w:shd w:fill="FAFAFA"/>
          </w:tcPr>
          <w:p>
            <w:pPr>
              <w:spacing w:before="60" w:after="60"/>
            </w:pPr>
            <w:r>
              <w:rPr>
                <w:color w:val="000000"/>
                <w:sz w:val="22"/>
                <w:szCs w:val="22"/>
                <w:rFonts w:ascii="Times New Roman" w:cs="Times New Roman" w:eastAsia="Times New Roman" w:hAnsi="Times New Roman"/>
              </w:rPr>
              <w:t xml:space="preserve">Output</w:t>
            </w:r>
          </w:p>
        </w:tc>
        <w:tc>
          <w:tcPr>
            <w:shd w:fill="FAFAFA"/>
          </w:tcPr>
          <w:p>
            <w:pPr>
              <w:spacing w:before="60" w:after="60"/>
            </w:pPr>
            <w:r>
              <w:rPr>
                <w:color w:val="000000"/>
                <w:sz w:val="22"/>
                <w:szCs w:val="22"/>
                <w:rFonts w:ascii="Times New Roman" w:cs="Times New Roman" w:eastAsia="Times New Roman" w:hAnsi="Times New Roman"/>
              </w:rPr>
              <w:t xml:space="preserve">Khối lượng tính cước</w:t>
            </w:r>
          </w:p>
        </w:tc>
        <w:tc>
          <w:tcPr>
            <w:shd w:fill="FAFAFA"/>
          </w:tcPr>
          <w:p>
            <w:pPr>
              <w:spacing w:before="60" w:after="60"/>
            </w:pPr>
            <w:r>
              <w:rPr>
                <w:color w:val="000000"/>
                <w:sz w:val="22"/>
                <w:szCs w:val="22"/>
                <w:rFonts w:ascii="Times New Roman" w:cs="Times New Roman" w:eastAsia="Times New Roman" w:hAnsi="Times New Roman"/>
              </w:rPr>
              <w:t xml:space="preserve">Float / Number</w:t>
            </w:r>
          </w:p>
        </w:tc>
        <w:tc>
          <w:tcPr>
            <w:shd w:fill="FAFAFA"/>
          </w:tcPr>
          <w:p>
            <w:pPr>
              <w:spacing w:before="60" w:after="60"/>
            </w:pPr>
            <w:r>
              <w:rPr>
                <w:color w:val="000000"/>
                <w:sz w:val="22"/>
                <w:szCs w:val="22"/>
                <w:rFonts w:ascii="Times New Roman" w:cs="Times New Roman" w:eastAsia="Times New Roman" w:hAnsi="Times New Roman"/>
              </w:rPr>
              <w:t xml:space="preserve">Kết quả Max(Khối lượng thực tế, Khối lượng quy đổi theo công thức (Dài x Rộng x Cao) / 5000).</w:t>
            </w:r>
          </w:p>
        </w:tc>
      </w:tr>
      <w:tr>
        <w:tc>
          <w:tcPr>
            <w:shd w:fill="FFFFFF"/>
          </w:tcPr>
          <w:p>
            <w:pPr>
              <w:spacing w:before="60" w:after="60"/>
            </w:pPr>
            <w:r>
              <w:rPr>
                <w:color w:val="000000"/>
                <w:sz w:val="22"/>
                <w:szCs w:val="22"/>
                <w:rFonts w:ascii="Times New Roman" w:cs="Times New Roman" w:eastAsia="Times New Roman" w:hAnsi="Times New Roman"/>
              </w:rPr>
              <w:t xml:space="preserve">Output</w:t>
            </w:r>
          </w:p>
        </w:tc>
        <w:tc>
          <w:tcPr>
            <w:shd w:fill="FFFFFF"/>
          </w:tcPr>
          <w:p>
            <w:pPr>
              <w:spacing w:before="60" w:after="60"/>
            </w:pPr>
            <w:r>
              <w:rPr>
                <w:color w:val="000000"/>
                <w:sz w:val="22"/>
                <w:szCs w:val="22"/>
                <w:rFonts w:ascii="Times New Roman" w:cs="Times New Roman" w:eastAsia="Times New Roman" w:hAnsi="Times New Roman"/>
              </w:rPr>
              <w:t xml:space="preserve">Cước vận chuyển tổng cộng</w:t>
            </w:r>
          </w:p>
        </w:tc>
        <w:tc>
          <w:tcPr>
            <w:shd w:fill="FFFFFF"/>
          </w:tcPr>
          <w:p>
            <w:pPr>
              <w:spacing w:before="60" w:after="60"/>
            </w:pPr>
            <w:r>
              <w:rPr>
                <w:color w:val="000000"/>
                <w:sz w:val="22"/>
                <w:szCs w:val="22"/>
                <w:rFonts w:ascii="Times New Roman" w:cs="Times New Roman" w:eastAsia="Times New Roman" w:hAnsi="Times New Roman"/>
              </w:rPr>
              <w:t xml:space="preserve">Float / Number</w:t>
            </w:r>
          </w:p>
        </w:tc>
        <w:tc>
          <w:tcPr>
            <w:shd w:fill="FFFFFF"/>
          </w:tcPr>
          <w:p>
            <w:pPr>
              <w:spacing w:before="60" w:after="60"/>
            </w:pPr>
            <w:r>
              <w:rPr>
                <w:color w:val="000000"/>
                <w:sz w:val="22"/>
                <w:szCs w:val="22"/>
                <w:rFonts w:ascii="Times New Roman" w:cs="Times New Roman" w:eastAsia="Times New Roman" w:hAnsi="Times New Roman"/>
              </w:rPr>
              <w:t xml:space="preserve">Tổng tiền cước gồm cước cơ bản theo dịch vụ + phụ phí vùng sâu (nếu có) + phí bảo hiểm (nếu có).</w:t>
            </w:r>
          </w:p>
        </w:tc>
      </w:tr>
      <w:tr>
        <w:tc>
          <w:tcPr>
            <w:shd w:fill="FAFAFA"/>
          </w:tcPr>
          <w:p>
            <w:pPr>
              <w:spacing w:before="60" w:after="60"/>
            </w:pPr>
            <w:r>
              <w:rPr>
                <w:color w:val="000000"/>
                <w:sz w:val="22"/>
                <w:szCs w:val="22"/>
                <w:rFonts w:ascii="Times New Roman" w:cs="Times New Roman" w:eastAsia="Times New Roman" w:hAnsi="Times New Roman"/>
              </w:rPr>
              <w:t xml:space="preserve">Output</w:t>
            </w:r>
          </w:p>
        </w:tc>
        <w:tc>
          <w:tcPr>
            <w:shd w:fill="FAFAFA"/>
          </w:tcPr>
          <w:p>
            <w:pPr>
              <w:spacing w:before="60" w:after="60"/>
            </w:pPr>
            <w:r>
              <w:rPr>
                <w:color w:val="000000"/>
                <w:sz w:val="22"/>
                <w:szCs w:val="22"/>
                <w:rFonts w:ascii="Times New Roman" w:cs="Times New Roman" w:eastAsia="Times New Roman" w:hAnsi="Times New Roman"/>
              </w:rPr>
              <w:t xml:space="preserve">Kho trung chuyển gợi ý</w:t>
            </w:r>
          </w:p>
        </w:tc>
        <w:tc>
          <w:tcPr>
            <w:shd w:fill="FAFAFA"/>
          </w:tcPr>
          <w:p>
            <w:pPr>
              <w:spacing w:before="60" w:after="60"/>
            </w:pPr>
            <w:r>
              <w:rPr>
                <w:color w:val="000000"/>
                <w:sz w:val="22"/>
                <w:szCs w:val="22"/>
                <w:rFonts w:ascii="Times New Roman" w:cs="Times New Roman" w:eastAsia="Times New Roman" w:hAnsi="Times New Roman"/>
              </w:rPr>
              <w:t xml:space="preserve">String</w:t>
            </w:r>
          </w:p>
        </w:tc>
        <w:tc>
          <w:tcPr>
            <w:shd w:fill="FAFAFA"/>
          </w:tcPr>
          <w:p>
            <w:pPr>
              <w:spacing w:before="60" w:after="60"/>
            </w:pPr>
            <w:r>
              <w:rPr>
                <w:color w:val="000000"/>
                <w:sz w:val="22"/>
                <w:szCs w:val="22"/>
                <w:rFonts w:ascii="Times New Roman" w:cs="Times New Roman" w:eastAsia="Times New Roman" w:hAnsi="Times New Roman"/>
              </w:rPr>
              <w:t xml:space="preserve">Tên mã kho trung chuyển tối ưu dựa trên địa chỉ người nhận.</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2: Activity Diagram chuẩn UML cho phân hệ tính cước</w:t>
      </w:r>
    </w:p>
    <w:p>
      <w:pPr>
        <w:spacing w:after="120" w:line="276"/>
      </w:pPr>
      <w:r>
        <w:rPr>
          <w:color w:val="000000"/>
          <w:sz w:val="24"/>
          <w:szCs w:val="24"/>
          <w:rFonts w:ascii="Times New Roman" w:cs="Times New Roman" w:eastAsia="Times New Roman" w:hAnsi="Times New Roman"/>
        </w:rPr>
        <w:t xml:space="preserve">Sơ đồ Activity Diagram được thiết kế toàn diện bằng mã Mermaid ở trên, thể hiện chính xác logic xử lý từ bước nhận diện bẫy dữ liệu kích thước vượt chuẩn, tính toán khối lượng quy đổi thể tích, phân rã theo gói dịch vụ, kiểm tra phụ phí vùng miền, tính bảo hiểm khai giá, cho đến cơ chế xử lý song song (Fork/Join) giữa việc gợi ý kho trung chuyển và lưu trữ dữ liệu vào cơ sở dữ liệu.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khối rẽ nhánh (Decision Node) để kiểm tra các bẫy dữ liệu đầu vào như kích thước âm, chữ cái hoặc vượt giới hạn 150cm của băng chuyền.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Áp dụng chính xác công thức quy đổi thể tích (Dài x Rộng x Cao) / 5000 và hàm Max để xác định trọng lượng tính cước.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Tách rõ các mức cước cơ bản cho ba loại dịch vụ Economy, Express và Fast Track.</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Xử lý song song (Fork/Join) cho tác vụ định tuyến kho và lưu database giúp hệ thống tối ưu hóa hiệu năng.</w:t>
      </w:r>
    </w:p>
    <w:p>
      <w:pPr>
        <w:spacing w:before="240" w:after="120"/>
      </w:pPr>
      <w:r>
        <w:rPr>
          <w:b/>
          <w:bCs/>
          <w:color w:val="000000"/>
          <w:sz w:val="26"/>
          <w:szCs w:val="26"/>
          <w:rFonts w:ascii="Times New Roman" w:cs="Times New Roman" w:eastAsia="Times New Roman" w:hAnsi="Times New Roman"/>
        </w:rPr>
        <w:t xml:space="preserve">Phần 3: Đặc tả REQ-CALC-01 theo chuẩn IEEE 830</w:t>
      </w:r>
    </w:p>
    <w:p>
      <w:pPr>
        <w:spacing w:after="120" w:line="276"/>
      </w:pPr>
      <w:r>
        <w:rPr>
          <w:color w:val="000000"/>
          <w:sz w:val="24"/>
          <w:szCs w:val="24"/>
          <w:rFonts w:ascii="Times New Roman" w:cs="Times New Roman" w:eastAsia="Times New Roman" w:hAnsi="Times New Roman"/>
        </w:rPr>
        <w:t xml:space="preserve">Dưới đây là đặc tả chi tiết yêu cầu chức năng cho phân hệ tính cước vận chuyển tự động, được biên soạn gọn gàng, đảm bảo tính rõ ràng (Unambiguous) và có thể kiểm thử được (Verifiable).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Thành phần đặc tả</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Nội dung chi tiết cho REQ-CALC-01</w:t>
            </w:r>
          </w:p>
        </w:tc>
      </w:tr>
      <w:tr>
        <w:tc>
          <w:tcPr>
            <w:shd w:fill="FFFFFF"/>
          </w:tcPr>
          <w:p>
            <w:pPr>
              <w:spacing w:before="60" w:after="60"/>
            </w:pPr>
            <w:r>
              <w:rPr>
                <w:color w:val="000000"/>
                <w:sz w:val="22"/>
                <w:szCs w:val="22"/>
                <w:rFonts w:ascii="Times New Roman" w:cs="Times New Roman" w:eastAsia="Times New Roman" w:hAnsi="Times New Roman"/>
              </w:rPr>
              <w:t xml:space="preserve">Mô tả chức năng</w:t>
            </w:r>
          </w:p>
        </w:tc>
        <w:tc>
          <w:tcPr>
            <w:shd w:fill="FFFFFF"/>
          </w:tcPr>
          <w:p>
            <w:pPr>
              <w:spacing w:before="60" w:after="60"/>
            </w:pPr>
            <w:r>
              <w:rPr>
                <w:color w:val="000000"/>
                <w:sz w:val="22"/>
                <w:szCs w:val="22"/>
                <w:rFonts w:ascii="Times New Roman" w:cs="Times New Roman" w:eastAsia="Times New Roman" w:hAnsi="Times New Roman"/>
              </w:rPr>
              <w:t xml:space="preserve">Hệ thống tự động nhận các thông số kích thước (Dài, Rộng, Cao), khối lượng thực tế, loại dịch vụ, mã bưu chính và giá trị khai giá để tính toán chính xác cước phí vận chuyển, phụ phí vùng miền, phí bảo hiểm và gợi ý kho trung chuyển phù hợp.</w:t>
            </w:r>
          </w:p>
        </w:tc>
      </w:tr>
      <w:tr>
        <w:tc>
          <w:tcPr>
            <w:shd w:fill="FAFAFA"/>
          </w:tcPr>
          <w:p>
            <w:pPr>
              <w:spacing w:before="60" w:after="60"/>
            </w:pPr>
            <w:r>
              <w:rPr>
                <w:color w:val="000000"/>
                <w:sz w:val="22"/>
                <w:szCs w:val="22"/>
                <w:rFonts w:ascii="Times New Roman" w:cs="Times New Roman" w:eastAsia="Times New Roman" w:hAnsi="Times New Roman"/>
              </w:rPr>
              <w:t xml:space="preserve">Input / Output</w:t>
            </w:r>
          </w:p>
        </w:tc>
        <w:tc>
          <w:tcPr>
            <w:shd w:fill="FAFAFA"/>
          </w:tcPr>
          <w:p>
            <w:pPr>
              <w:spacing w:before="60" w:after="60"/>
            </w:pPr>
            <w:r>
              <w:rPr>
                <w:color w:val="000000"/>
                <w:sz w:val="22"/>
                <w:szCs w:val="22"/>
                <w:rFonts w:ascii="Times New Roman" w:cs="Times New Roman" w:eastAsia="Times New Roman" w:hAnsi="Times New Roman"/>
              </w:rPr>
              <w:t xml:space="preserve">Input tham chiếu từ Bảng phân tích Phần 1 (Kích thước, Khối lượng thực tế, Loại dịch vụ, Mã bưu chính, Giá trị khai giá). Output trả về Khối lượng tính cước, Tổng cước vận chuyển và Kho trung chuyển gợi ý.</w:t>
            </w:r>
          </w:p>
        </w:tc>
      </w:tr>
      <w:tr>
        <w:tc>
          <w:tcPr>
            <w:shd w:fill="FFFFFF"/>
          </w:tcPr>
          <w:p>
            <w:pPr>
              <w:spacing w:before="60" w:after="60"/>
            </w:pPr>
            <w:r>
              <w:rPr>
                <w:color w:val="000000"/>
                <w:sz w:val="22"/>
                <w:szCs w:val="22"/>
                <w:rFonts w:ascii="Times New Roman" w:cs="Times New Roman" w:eastAsia="Times New Roman" w:hAnsi="Times New Roman"/>
              </w:rPr>
              <w:t xml:space="preserve">Điều kiện tiên quyết (Pre-conditions)</w:t>
            </w:r>
          </w:p>
        </w:tc>
        <w:tc>
          <w:tcPr>
            <w:shd w:fill="FFFFFF"/>
          </w:tcPr>
          <w:p>
            <w:pPr>
              <w:spacing w:before="60" w:after="60"/>
            </w:pPr>
            <w:r>
              <w:rPr>
                <w:color w:val="000000"/>
                <w:sz w:val="22"/>
                <w:szCs w:val="22"/>
                <w:rFonts w:ascii="Times New Roman" w:cs="Times New Roman" w:eastAsia="Times New Roman" w:hAnsi="Times New Roman"/>
              </w:rPr>
              <w:t xml:space="preserve">Người dùng hoặc hệ thống đối tác phải truyền đầy đủ các trường thông tin bắt buộc, định dạng dữ liệu hợp lệ (số dương, mã bưu chính tồn tại trong hệ thống danh mục). Bưu kiện phải vượt qua kiểm tra giới hạn băng chuyền (&lt;= 150cm mỗi chiều).</w:t>
            </w:r>
          </w:p>
        </w:tc>
      </w:tr>
    </w:tbl>
    <w:p>
      <w:pPr>
        <w:spacing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2026-09-24T13:17:47.628Z</dcterms:created>
  <dcterms:modified xsi:type="dcterms:W3CDTF">2026-09-24T13:17:47.628Z</dcterms:modified>
</cp:coreProperties>
</file>

<file path=docProps/custom.xml><?xml version="1.0" encoding="utf-8"?>
<Properties xmlns="http://schemas.openxmlformats.org/officeDocument/2006/custom-properties" xmlns:vt="http://schemas.openxmlformats.org/officeDocument/2006/docPropsVTypes"/>
</file>