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Thanh lọc danh sách &amp; Loại bỏ thực thể kỹ thuật</w:t>
      </w:r>
    </w:p>
    <w:p>
      <w:pPr>
        <w:spacing w:after="120" w:line="276"/>
      </w:pPr>
      <w:r>
        <w:rPr>
          <w:color w:val="000000"/>
          <w:sz w:val="24"/>
          <w:szCs w:val="24"/>
          <w:rFonts w:ascii="Times New Roman" w:cs="Times New Roman" w:eastAsia="Times New Roman" w:hAnsi="Times New Roman"/>
        </w:rPr>
        <w:t xml:space="preserve">Trong quá trình phân tích hệ thống Hồ sơ sức khỏe điện tử RikkeiCare EHR, bước đầu tiên và quan trọng nhất là xác định chính xác các Bên liên quan (Stakeholders). Theo nguyên lý Phân tích Hệ thống Thông tin, Stakeholder phải là cá nhân, nhóm người hoặc tổ chức có quyền lợi, vai trò, trách nhiệm hoặc chịu ảnh hưởng trực tiếp/gián tiếp từ hệ thống. Các thành phần hạ tầng phần cứng, phần mềm, cơ sở dữ liệu hay thiết bị mạng chỉ là công cụ kỹ thuật (Technical Entities), không có năng lực hành vi pháp lý hay quyền lợi quản trị, do đó tuyệt đối không được đưa vào Ma trận Stakeholder.</w:t>
      </w:r>
    </w:p>
    <w:p>
      <w:pPr>
        <w:spacing w:after="120" w:line="276"/>
      </w:pPr>
      <w:r>
        <w:rPr>
          <w:color w:val="000000"/>
          <w:sz w:val="24"/>
          <w:szCs w:val="24"/>
          <w:rFonts w:ascii="Times New Roman" w:cs="Times New Roman" w:eastAsia="Times New Roman" w:hAnsi="Times New Roman"/>
        </w:rPr>
        <w:t xml:space="preserve">Phân tích chi tiết 5 đối tượng bàn giao từ nhóm tiền nhiệm cho thấy nhóm cũ đã mắc bẫy tư duy tài sản khi xếp 'Máy chủ cơ sở dữ liệu Oracle' vào Stakeholder chỉ vì giá trị tài chính đắt đỏ của nó. Dưới đây là kết quả phân định và thanh lọc: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Bác sĩ điều trị trực tiếp: STAKEHOLDER THỰC THỤ (Cá nhân vận hành trực tiếp, khai thác và nhập liệu hồ sơ EHR trong quá trình khám chữa bệnh).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Máy chủ cơ sở dữ liệu Oracle: THỰC THỂ KỸ THUẬT - LOẠI BỎ (Là công cụ lưu trữ dữ liệu backend, không có quyền lợi hay nghĩa vụ nhân sự/pháp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Ban Giám đốc Bệnh viện RikkeiCare: STAKEHOLDER THỰC THỤ (Tổ chức/Cấp quản trị cao nhất, chủ đầu tư dự án, quyết định ngân sách và định hướng chiến lược).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Bệnh nhân và Thân nhân người bệnh: STAKEHOLDER THỰC THỤ (Cá nhân/Nhóm đối tượng thụ hưởng dịch vụ, sở hữu dữ liệu cá nhân nhạy cảm, chịu ảnh hưởng trực tiếp bởi chất lượng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Thanh tra Pháp chế &amp; Bảo mật Y tế (Bộ Y tế): STAKEHOLDER THỰC THỤ (Cơ quan quản lý nhà nước, ban hành quy chuẩn bảo mật y tế, có quyền thanh tra và xử phạt vi phạm).</w:t>
      </w:r>
    </w:p>
    <w:p>
      <w:pPr>
        <w:spacing w:before="240" w:after="120"/>
      </w:pPr>
      <w:r>
        <w:rPr>
          <w:b/>
          <w:bCs/>
          <w:color w:val="000000"/>
          <w:sz w:val="26"/>
          <w:szCs w:val="26"/>
          <w:rFonts w:ascii="Times New Roman" w:cs="Times New Roman" w:eastAsia="Times New Roman" w:hAnsi="Times New Roman"/>
        </w:rPr>
        <w:t xml:space="preserve">Phần 2: Hoàn thiện Ma trận Stakeholder (Power-Interest Matrix)</w:t>
      </w:r>
    </w:p>
    <w:p>
      <w:pPr>
        <w:spacing w:after="120" w:line="276"/>
      </w:pPr>
      <w:r>
        <w:rPr>
          <w:color w:val="000000"/>
          <w:sz w:val="24"/>
          <w:szCs w:val="24"/>
          <w:rFonts w:ascii="Times New Roman" w:cs="Times New Roman" w:eastAsia="Times New Roman" w:hAnsi="Times New Roman"/>
        </w:rPr>
        <w:t xml:space="preserve">Sau khi loại bỏ thực thể kỹ thuật 'Máy chủ cơ sở dữ liệu Oracle', 4 Stakeholder thực thụ được phân bổ chính xác vào 4 góc phần tư của Ma trận Quyền lực - Mức độ quan tâm (Power-Interest Matrix). Việc phân loại này dựa trên thẩm quyền ra quyết định (Power) và mức độ ảnh hưởng/mức độ ảnh hưởng ngược lại đối với hoạt động hàng ngày của EHR (Interest).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Nhóm chiến lược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Tiêu chí phân loại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Stakeholder xác định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tương tác chủ chốt</w:t>
            </w:r>
          </w:p>
        </w:tc>
      </w:tr>
      <w:tr>
        <w:tc>
          <w:tcPr>
            <w:shd w:fill="FFFFFF"/>
          </w:tcPr>
          <w:p>
            <w:pPr>
              <w:spacing w:before="60" w:after="60"/>
            </w:pPr>
            <w:r>
              <w:rPr>
                <w:color w:val="000000"/>
                <w:sz w:val="22"/>
                <w:szCs w:val="22"/>
                <w:rFonts w:ascii="Times New Roman" w:cs="Times New Roman" w:eastAsia="Times New Roman" w:hAnsi="Times New Roman"/>
              </w:rPr>
              <w:t xml:space="preserve">Quản lý chặt chẽ (Manage Closely)</w:t>
            </w:r>
          </w:p>
        </w:tc>
        <w:tc>
          <w:tcPr>
            <w:shd w:fill="FFFFFF"/>
          </w:tcPr>
          <w:p>
            <w:pPr>
              <w:spacing w:before="60" w:after="60"/>
            </w:pPr>
            <w:r>
              <w:rPr>
                <w:color w:val="000000"/>
                <w:sz w:val="22"/>
                <w:szCs w:val="22"/>
                <w:rFonts w:ascii="Times New Roman" w:cs="Times New Roman" w:eastAsia="Times New Roman" w:hAnsi="Times New Roman"/>
              </w:rPr>
              <w:t xml:space="preserve">Quyền lực Cao - Quan tâm Cao</w:t>
            </w:r>
          </w:p>
        </w:tc>
        <w:tc>
          <w:tcPr>
            <w:shd w:fill="FFFFFF"/>
          </w:tcPr>
          <w:p>
            <w:pPr>
              <w:spacing w:before="60" w:after="60"/>
            </w:pPr>
            <w:r>
              <w:rPr>
                <w:color w:val="000000"/>
                <w:sz w:val="22"/>
                <w:szCs w:val="22"/>
                <w:rFonts w:ascii="Times New Roman" w:cs="Times New Roman" w:eastAsia="Times New Roman" w:hAnsi="Times New Roman"/>
              </w:rPr>
              <w:t xml:space="preserve">Ban Giám đốc Bệnh viện RikkeiCare</w:t>
            </w:r>
          </w:p>
        </w:tc>
        <w:tc>
          <w:tcPr>
            <w:shd w:fill="FFFFFF"/>
          </w:tcPr>
          <w:p>
            <w:pPr>
              <w:spacing w:before="60" w:after="60"/>
            </w:pPr>
            <w:r>
              <w:rPr>
                <w:color w:val="000000"/>
                <w:sz w:val="22"/>
                <w:szCs w:val="22"/>
                <w:rFonts w:ascii="Times New Roman" w:cs="Times New Roman" w:eastAsia="Times New Roman" w:hAnsi="Times New Roman"/>
              </w:rPr>
              <w:t xml:space="preserve">Báo cáo tiến độ trực tiếp, trình ký phê duyệt mốc dự án, tham gia mọi quyết định lớn về ngân sách và phạm vi.</w:t>
            </w:r>
          </w:p>
        </w:tc>
      </w:tr>
      <w:tr>
        <w:tc>
          <w:tcPr>
            <w:shd w:fill="FAFAFA"/>
          </w:tcPr>
          <w:p>
            <w:pPr>
              <w:spacing w:before="60" w:after="60"/>
            </w:pPr>
            <w:r>
              <w:rPr>
                <w:color w:val="000000"/>
                <w:sz w:val="22"/>
                <w:szCs w:val="22"/>
                <w:rFonts w:ascii="Times New Roman" w:cs="Times New Roman" w:eastAsia="Times New Roman" w:hAnsi="Times New Roman"/>
              </w:rPr>
              <w:t xml:space="preserve">Giữ hài lòng (Keep Satisfied)</w:t>
            </w:r>
          </w:p>
        </w:tc>
        <w:tc>
          <w:tcPr>
            <w:shd w:fill="FAFAFA"/>
          </w:tcPr>
          <w:p>
            <w:pPr>
              <w:spacing w:before="60" w:after="60"/>
            </w:pPr>
            <w:r>
              <w:rPr>
                <w:color w:val="000000"/>
                <w:sz w:val="22"/>
                <w:szCs w:val="22"/>
                <w:rFonts w:ascii="Times New Roman" w:cs="Times New Roman" w:eastAsia="Times New Roman" w:hAnsi="Times New Roman"/>
              </w:rPr>
              <w:t xml:space="preserve">Quyền lực Cao - Quan tâm Thấp</w:t>
            </w:r>
          </w:p>
        </w:tc>
        <w:tc>
          <w:tcPr>
            <w:shd w:fill="FAFAFA"/>
          </w:tcPr>
          <w:p>
            <w:pPr>
              <w:spacing w:before="60" w:after="60"/>
            </w:pPr>
            <w:r>
              <w:rPr>
                <w:color w:val="000000"/>
                <w:sz w:val="22"/>
                <w:szCs w:val="22"/>
                <w:rFonts w:ascii="Times New Roman" w:cs="Times New Roman" w:eastAsia="Times New Roman" w:hAnsi="Times New Roman"/>
              </w:rPr>
              <w:t xml:space="preserve">Thanh tra Pháp chế &amp; Bảo mật Y tế (Bộ Y tế)</w:t>
            </w:r>
          </w:p>
        </w:tc>
        <w:tc>
          <w:tcPr>
            <w:shd w:fill="FAFAFA"/>
          </w:tcPr>
          <w:p>
            <w:pPr>
              <w:spacing w:before="60" w:after="60"/>
            </w:pPr>
            <w:r>
              <w:rPr>
                <w:color w:val="000000"/>
                <w:sz w:val="22"/>
                <w:szCs w:val="22"/>
                <w:rFonts w:ascii="Times New Roman" w:cs="Times New Roman" w:eastAsia="Times New Roman" w:hAnsi="Times New Roman"/>
              </w:rPr>
              <w:t xml:space="preserve">Gửi báo cáo tuân thủ an toàn thông tin định kỳ, xin ý kiến tư vấn trước khi ban hành chính sách chia sẻ dữ liệu EHR, đảm bảo hệ thống đáp ứng đầy đủ quy định pháp lý.</w:t>
            </w:r>
          </w:p>
        </w:tc>
      </w:tr>
      <w:tr>
        <w:tc>
          <w:tcPr>
            <w:shd w:fill="FFFFFF"/>
          </w:tcPr>
          <w:p>
            <w:pPr>
              <w:spacing w:before="60" w:after="60"/>
            </w:pPr>
            <w:r>
              <w:rPr>
                <w:color w:val="000000"/>
                <w:sz w:val="22"/>
                <w:szCs w:val="22"/>
                <w:rFonts w:ascii="Times New Roman" w:cs="Times New Roman" w:eastAsia="Times New Roman" w:hAnsi="Times New Roman"/>
              </w:rPr>
              <w:t xml:space="preserve">Giữ thông tin (Keep Informed)</w:t>
            </w:r>
          </w:p>
        </w:tc>
        <w:tc>
          <w:tcPr>
            <w:shd w:fill="FFFFFF"/>
          </w:tcPr>
          <w:p>
            <w:pPr>
              <w:spacing w:before="60" w:after="60"/>
            </w:pPr>
            <w:r>
              <w:rPr>
                <w:color w:val="000000"/>
                <w:sz w:val="22"/>
                <w:szCs w:val="22"/>
                <w:rFonts w:ascii="Times New Roman" w:cs="Times New Roman" w:eastAsia="Times New Roman" w:hAnsi="Times New Roman"/>
              </w:rPr>
              <w:t xml:space="preserve">Quyền lực Thấp - Quan tâm Cao</w:t>
            </w:r>
          </w:p>
        </w:tc>
        <w:tc>
          <w:tcPr>
            <w:shd w:fill="FFFFFF"/>
          </w:tcPr>
          <w:p>
            <w:pPr>
              <w:spacing w:before="60" w:after="60"/>
            </w:pPr>
            <w:r>
              <w:rPr>
                <w:color w:val="000000"/>
                <w:sz w:val="22"/>
                <w:szCs w:val="22"/>
                <w:rFonts w:ascii="Times New Roman" w:cs="Times New Roman" w:eastAsia="Times New Roman" w:hAnsi="Times New Roman"/>
              </w:rPr>
              <w:t xml:space="preserve">Bác sĩ điều trị trực tiếp</w:t>
            </w:r>
          </w:p>
        </w:tc>
        <w:tc>
          <w:tcPr>
            <w:shd w:fill="FFFFFF"/>
          </w:tcPr>
          <w:p>
            <w:pPr>
              <w:spacing w:before="60" w:after="60"/>
            </w:pPr>
            <w:r>
              <w:rPr>
                <w:color w:val="000000"/>
                <w:sz w:val="22"/>
                <w:szCs w:val="22"/>
                <w:rFonts w:ascii="Times New Roman" w:cs="Times New Roman" w:eastAsia="Times New Roman" w:hAnsi="Times New Roman"/>
              </w:rPr>
              <w:t xml:space="preserve">Tập huấn sử dụng hệ thống, khảo sát UX/UI thực tế tại phòng khám, gửi bản tin cập nhật tính năng mới và thu thập phản hồi về độ tiện dụng.</w:t>
            </w:r>
          </w:p>
        </w:tc>
      </w:tr>
      <w:tr>
        <w:tc>
          <w:tcPr>
            <w:shd w:fill="FAFAFA"/>
          </w:tcPr>
          <w:p>
            <w:pPr>
              <w:spacing w:before="60" w:after="60"/>
            </w:pPr>
            <w:r>
              <w:rPr>
                <w:color w:val="000000"/>
                <w:sz w:val="22"/>
                <w:szCs w:val="22"/>
                <w:rFonts w:ascii="Times New Roman" w:cs="Times New Roman" w:eastAsia="Times New Roman" w:hAnsi="Times New Roman"/>
              </w:rPr>
              <w:t xml:space="preserve">Giám sát tối thiểu (Monitor)</w:t>
            </w:r>
          </w:p>
        </w:tc>
        <w:tc>
          <w:tcPr>
            <w:shd w:fill="FAFAFA"/>
          </w:tcPr>
          <w:p>
            <w:pPr>
              <w:spacing w:before="60" w:after="60"/>
            </w:pPr>
            <w:r>
              <w:rPr>
                <w:color w:val="000000"/>
                <w:sz w:val="22"/>
                <w:szCs w:val="22"/>
                <w:rFonts w:ascii="Times New Roman" w:cs="Times New Roman" w:eastAsia="Times New Roman" w:hAnsi="Times New Roman"/>
              </w:rPr>
              <w:t xml:space="preserve">Quyền lực Thấp - Quan tâm Thấp</w:t>
            </w:r>
          </w:p>
        </w:tc>
        <w:tc>
          <w:tcPr>
            <w:shd w:fill="FAFAFA"/>
          </w:tcPr>
          <w:p>
            <w:pPr>
              <w:spacing w:before="60" w:after="60"/>
            </w:pPr>
            <w:r>
              <w:rPr>
                <w:color w:val="000000"/>
                <w:sz w:val="22"/>
                <w:szCs w:val="22"/>
                <w:rFonts w:ascii="Times New Roman" w:cs="Times New Roman" w:eastAsia="Times New Roman" w:hAnsi="Times New Roman"/>
              </w:rPr>
              <w:t xml:space="preserve">Bệnh nhân và Thân nhân người bệnh</w:t>
            </w:r>
          </w:p>
        </w:tc>
        <w:tc>
          <w:tcPr>
            <w:shd w:fill="FAFAFA"/>
          </w:tcPr>
          <w:p>
            <w:pPr>
              <w:spacing w:before="60" w:after="60"/>
            </w:pPr>
            <w:r>
              <w:rPr>
                <w:color w:val="000000"/>
                <w:sz w:val="22"/>
                <w:szCs w:val="22"/>
                <w:rFonts w:ascii="Times New Roman" w:cs="Times New Roman" w:eastAsia="Times New Roman" w:hAnsi="Times New Roman"/>
              </w:rPr>
              <w:t xml:space="preserve">Cung cấp thông báo định kỳ qua Email/App di động, công khai điều khoản riêng tư, không cần tổ chức cuộc họp riêng ở cấp độ quản trị dự án.</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Đề xuất Giải pháp Xung đột Bảo mật vs Tiện ích (Emergency Override)</w:t>
      </w:r>
    </w:p>
    <w:p>
      <w:pPr>
        <w:spacing w:after="120" w:line="276"/>
      </w:pPr>
      <w:r>
        <w:rPr>
          <w:color w:val="000000"/>
          <w:sz w:val="24"/>
          <w:szCs w:val="24"/>
          <w:rFonts w:ascii="Times New Roman" w:cs="Times New Roman" w:eastAsia="Times New Roman" w:hAnsi="Times New Roman"/>
        </w:rPr>
        <w:t xml:space="preserve">Trong các hệ thống y tế cốt lõi như RikkeiCare EHR, xung đột giữa Tiện ích vận hành (Bác sĩ muốn mở hồ sơ tức thì không cần xác thực để cứu người) và Pháp chế bảo mật (Cán bộ pháp chế yêu cầu mã xác nhận Consent của bệnh nhân để bảo vệ quyền riêng tư) là kịch bản điển hình. Nếu áp dụng cứng nhắc quy định xác thực Consent, bệnh nhân hôn mê nhập viện cấp cứu có thể bị đe dọa tính mạng do bác sĩ không truy cập được tiền sử dị ứng thuốc hay bệnh lý nền.</w:t>
      </w:r>
    </w:p>
    <w:p>
      <w:pPr>
        <w:spacing w:after="120" w:line="276"/>
      </w:pPr>
      <w:r>
        <w:rPr>
          <w:color w:val="000000"/>
          <w:sz w:val="24"/>
          <w:szCs w:val="24"/>
          <w:rFonts w:ascii="Times New Roman" w:cs="Times New Roman" w:eastAsia="Times New Roman" w:hAnsi="Times New Roman"/>
        </w:rPr>
        <w:t xml:space="preserve">Để giải quyết triệt để xung đột này, hệ thống thiết kế cơ chế 'Cấp quyền khẩn cấp' (Emergency Override / Break-Glass Mechanism) dung hòa cả hai yêu cầu trên: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Luồng vận hành chuẩn (Standard Operation): Mặc định, bác sĩ phải nhập mã OTP/Consent do bệnh nhân cung cấp qua SMS/App di động để mở xem lịch sử khám bệnh nhạy cảm.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Luồng cấp cứu khẩn cấp (Emergency Override): Khi bệnh nhân hôn mê bất tỉnh hoặc gặp tình huống nguy kịch không thể xác nhận, hệ thống cho phép Bác sĩ kích hoạt nút 'KÍCH HOẠT TRUY CẬP CẤP CỨU (BREAK-GLASS)'. Hệ thống lập tức mở quyền truy cập hồ sơ bệnh án trong phạm vi điều trị.</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kiểm soát &amp; Nhập vết kiểm toán (Audit Trail &amp; Control): Bác sĩ bắt buộc phải nhập 'Lý do cấp cứu khẩn cấp' trước khi hệ thống mở dữ liệu; ngay lập tức, hệ thống tự động gửi thông báo SMS/Email cảnh báo tới Thân nhân bệnh nhân, đồng thời ghi lại vết nhật ký kiểm toán (Audit Log) không thể chỉnh sửa (gồm ID Bác sĩ, thời gian, lý do kích hoạt, IP máy trạm) để Cán bộ Pháp chế hậu kiểm và đối soát pháp lý định kỳ.</w:t>
      </w:r>
    </w:p>
    <w:p>
      <w:pPr>
        <w:spacing w:before="240" w:after="120"/>
      </w:pPr>
      <w:r>
        <w:rPr>
          <w:b/>
          <w:bCs/>
          <w:color w:val="000000"/>
          <w:sz w:val="26"/>
          <w:szCs w:val="26"/>
          <w:rFonts w:ascii="Times New Roman" w:cs="Times New Roman" w:eastAsia="Times New Roman" w:hAnsi="Times New Roman"/>
        </w:rPr>
        <w:t xml:space="preserve">Phần 4: Kết luận</w:t>
      </w:r>
    </w:p>
    <w:p>
      <w:pPr>
        <w:spacing w:after="120" w:line="276"/>
      </w:pPr>
      <w:r>
        <w:rPr>
          <w:color w:val="000000"/>
          <w:sz w:val="24"/>
          <w:szCs w:val="24"/>
          <w:rFonts w:ascii="Times New Roman" w:cs="Times New Roman" w:eastAsia="Times New Roman" w:hAnsi="Times New Roman"/>
        </w:rPr>
        <w:t xml:space="preserve">Việc tách biệt rõ ràng giữa Thực thể kỹ thuật và Stakeholder giúp dự án RikkeiCare EHR tập trung đúng nguồn lực tương tác vào các chủ thể nhân sự/tổ chức thực sự. Bên cạnh đó, giải pháp Emergency Override kết hợp Audit Trail vừa đáp ứng tối đa tính thời khắc trong cấp cứu y tế của Bác sĩ điều trị, vừa tuân thủ nghiêm ngặt chuẩn mực pháp lý bảo mật của Bộ Y tế, loại bỏ hoàn toàn rủi ro nghẽn luồng xử lý do bẫy dữ liệu biên.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2026-09-07T17:42:36.293Z</dcterms:created>
  <dcterms:modified xsi:type="dcterms:W3CDTF">2026-09-07T17:42:36.293Z</dcterms:modified>
</cp:coreProperties>
</file>

<file path=docProps/custom.xml><?xml version="1.0" encoding="utf-8"?>
<Properties xmlns="http://schemas.openxmlformats.org/officeDocument/2006/custom-properties" xmlns:vt="http://schemas.openxmlformats.org/officeDocument/2006/docPropsVTypes"/>
</file>