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504"/>
            <w:shd w:fill="F8FAFC"/>
            <w:tcMar>
              <w:top w:w="180" w:type="dxa"/>
              <w:bottom w:w="180" w:type="dxa"/>
              <w:left w:w="240" w:type="dxa"/>
              <w:right w:w="240" w:type="dxa"/>
            </w:tcMar>
            <w:tcBorders>
              <w:top w:val="none"/>
              <w:bottom w:val="none"/>
              <w:left w:val="single" w:sz="24" w:space="0" w:color="1E293B"/>
              <w:right w:val="none"/>
            </w:tcBorders>
          </w:tcPr>
          <w:p>
            <w:pPr>
              <w:spacing w:before="0" w:after="80"/>
            </w:pPr>
            <w:r>
              <w:rPr>
                <w:rFonts w:ascii="Calibri" w:hAnsi="Calibri"/>
                <w:b/>
                <w:color w:val="1E293B"/>
                <w:sz w:val="27"/>
              </w:rPr>
              <w:t>BÁO CÁO KHẢO SÁT VÀ PHÂN TÍCH TOÀN DIỆN HỆ THỐNG NGÂN HÀNG SỐ RIKKEIBANK</w:t>
            </w:r>
          </w:p>
          <w:p>
            <w:pPr>
              <w:spacing w:before="0" w:after="0"/>
            </w:pPr>
            <w:r>
              <w:rPr>
                <w:rFonts w:ascii="Calibri" w:hAnsi="Calibri"/>
                <w:i/>
                <w:color w:val="64748B"/>
                <w:sz w:val="21"/>
              </w:rPr>
              <w:t>Học phần: IT105 - Phân tích &amp; Đặc tả Yêu cầu Phần mềm | Vai trò: Chuyên viên Phân tích Nghiệp vụ (BA)</w:t>
            </w:r>
          </w:p>
        </w:tc>
      </w:tr>
    </w:tbl>
    <w:p>
      <w:pPr>
        <w:spacing w:after="12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4752"/>
            <w:shd w:fill="F8FAFC"/>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Sinh viên thực hiện: </w:t>
            </w:r>
            <w:r>
              <w:rPr>
                <w:rFonts w:ascii="Calibri" w:hAnsi="Calibri"/>
                <w:color w:val="1E293B"/>
                <w:sz w:val="21"/>
              </w:rPr>
              <w:t>Nguyễn Tuấn Khang</w:t>
            </w:r>
          </w:p>
        </w:tc>
        <w:tc>
          <w:tcPr>
            <w:tcW w:type="dxa" w:w="4752"/>
            <w:shd w:fill="F8FAFC"/>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Mã SV / GitHub: </w:t>
            </w:r>
            <w:r>
              <w:rPr>
                <w:rFonts w:ascii="Calibri" w:hAnsi="Calibri"/>
                <w:color w:val="1E293B"/>
                <w:sz w:val="21"/>
              </w:rPr>
              <w:t>cactor7733789</w:t>
            </w:r>
          </w:p>
        </w:tc>
      </w:tr>
      <w:tr>
        <w:tc>
          <w:tcPr>
            <w:tcW w:type="dxa" w:w="4752"/>
            <w:shd w:fill="F8FAFC"/>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Đối tượng khảo sát: </w:t>
            </w:r>
            <w:r>
              <w:rPr>
                <w:rFonts w:ascii="Calibri" w:hAnsi="Calibri"/>
                <w:color w:val="1E293B"/>
                <w:sz w:val="21"/>
              </w:rPr>
              <w:t>Ngân hàng số RikkeiBank</w:t>
            </w:r>
          </w:p>
        </w:tc>
        <w:tc>
          <w:tcPr>
            <w:tcW w:type="dxa" w:w="4752"/>
            <w:shd w:fill="F8FAFC"/>
            <w:vAlign w:val="center"/>
            <w:tcMar>
              <w:top w:w="100" w:type="dxa"/>
              <w:bottom w:w="100" w:type="dxa"/>
              <w:left w:w="140" w:type="dxa"/>
              <w:right w:w="140" w:type="dxa"/>
            </w:tcMar>
          </w:tcPr>
          <w:p>
            <w:pPr>
              <w:spacing w:line="276" w:lineRule="auto" w:before="40" w:after="40"/>
            </w:pPr>
            <w:r>
              <w:rPr>
                <w:rFonts w:ascii="Calibri" w:hAnsi="Calibri"/>
                <w:b/>
                <w:color w:val="1E293B"/>
                <w:sz w:val="21"/>
              </w:rPr>
              <w:t xml:space="preserve">Mục tiêu hệ thống: </w:t>
            </w:r>
            <w:r>
              <w:rPr>
                <w:rFonts w:ascii="Calibri" w:hAnsi="Calibri"/>
                <w:color w:val="1E293B"/>
                <w:sz w:val="21"/>
              </w:rPr>
              <w:t>Ứng dụng di động chuyển tiền 24/7 &amp; gửi tiết kiệm</w:t>
            </w:r>
          </w:p>
        </w:tc>
      </w:tr>
    </w:tbl>
    <w:p>
      <w:pPr>
        <w:spacing w:after="120"/>
      </w:pPr>
    </w:p>
    <w:p>
      <w:pPr>
        <w:keepNext/>
        <w:spacing w:before="280" w:after="120"/>
      </w:pPr>
      <w:r>
        <w:rPr>
          <w:rFonts w:ascii="Calibri" w:hAnsi="Calibri"/>
          <w:b/>
          <w:color w:val="1E293B"/>
          <w:sz w:val="26"/>
        </w:rPr>
        <w:t>BƯỚC 1: NHẬN DIỆN 5 THÀNH PHẦN HTTT VÀ PHÂN BIỆT DỮ LIỆU VS THÔNG TIN</w:t>
      </w:r>
    </w:p>
    <w:p>
      <w:pPr>
        <w:keepNext/>
        <w:spacing w:before="200" w:after="80"/>
      </w:pPr>
      <w:r>
        <w:rPr>
          <w:rFonts w:ascii="Calibri" w:hAnsi="Calibri"/>
          <w:b/>
          <w:color w:val="334155"/>
          <w:sz w:val="23"/>
        </w:rPr>
        <w:t>1.1. Nhận diện 5 thành phần Hệ thống Thông tin tại RikkeiBank</w:t>
      </w:r>
    </w:p>
    <w:p>
      <w:pPr>
        <w:spacing w:before="40" w:after="80" w:line="276" w:lineRule="auto"/>
      </w:pPr>
      <w:r>
        <w:rPr>
          <w:rFonts w:ascii="Calibri" w:hAnsi="Calibri"/>
          <w:color w:val="1E293B"/>
          <w:sz w:val="22"/>
        </w:rPr>
        <w:t>Tổng hợp 5 thành phần cấu thành hệ sinh thái ngân hàng số RikkeiBank (bổ sung thành phần Con người và Quy trình giao dịch tài chính cốt lõi):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2160"/>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Thành phần HTTT</w:t>
            </w:r>
          </w:p>
        </w:tc>
        <w:tc>
          <w:tcPr>
            <w:tcW w:type="dxa" w:w="403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Ví dụ thực tế tại RikkeiBank</w:t>
            </w:r>
          </w:p>
        </w:tc>
        <w:tc>
          <w:tcPr>
            <w:tcW w:type="dxa" w:w="331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Vai trò cơ bản</w:t>
            </w:r>
          </w:p>
        </w:tc>
      </w:tr>
      <w:tr>
        <w:tc>
          <w:tcPr>
            <w:tcW w:type="dxa" w:w="216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 Phần cứng</w:t>
              <w:br/>
              <w:t>(Hardware)</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Máy chủ xử lý giao dịch Core Banking, hệ thống máy ATM/CRM, thiết bị thanh toán POS tại điểm bán, thiết bị bảo mật HSM (Hardware Security Module).</w:t>
            </w:r>
          </w:p>
        </w:tc>
        <w:tc>
          <w:tcPr>
            <w:tcW w:type="dxa" w:w="331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Hạ tầng vật lý xử lý, lưu trữ và giao tiếp tài chính.</w:t>
            </w:r>
          </w:p>
        </w:tc>
      </w:tr>
      <w:tr>
        <w:tc>
          <w:tcPr>
            <w:tcW w:type="dxa" w:w="216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2. Phần mềm</w:t>
              <w:br/>
              <w:t>(Software)</w:t>
            </w:r>
          </w:p>
        </w:tc>
        <w:tc>
          <w:tcPr>
            <w:tcW w:type="dxa" w:w="4032"/>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Ứng dụng RikkeiBank Mobile, hệ thống Internet Banking, phần mềm xử lý giao dịch Core Banking, hệ thống phòng chống gian lận (Anti-Fraud).</w:t>
            </w:r>
          </w:p>
        </w:tc>
        <w:tc>
          <w:tcPr>
            <w:tcW w:type="dxa" w:w="3312"/>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Giao diện và logic thực hiện giao dịch tài chính số.</w:t>
            </w:r>
          </w:p>
        </w:tc>
      </w:tr>
      <w:tr>
        <w:tc>
          <w:tcPr>
            <w:tcW w:type="dxa" w:w="216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3. Dữ liệu</w:t>
              <w:br/>
              <w:t>(Data)</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Số dư tài khoản, lịch sử biến động số dư, dữ liệu sinh trắc học khuôn mặt/vân tay, thông tin định danh khách hàng (eKYC).</w:t>
            </w:r>
          </w:p>
        </w:tc>
        <w:tc>
          <w:tcPr>
            <w:tcW w:type="dxa" w:w="331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Dữ liệu tài chính và định danh cốt lõi.</w:t>
            </w:r>
          </w:p>
        </w:tc>
      </w:tr>
      <w:tr>
        <w:tc>
          <w:tcPr>
            <w:tcW w:type="dxa" w:w="216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4. Con người</w:t>
              <w:br/>
              <w:t>(People)</w:t>
              <w:br/>
              <w:t>[Điền bổ sung]</w:t>
            </w:r>
          </w:p>
        </w:tc>
        <w:tc>
          <w:tcPr>
            <w:tcW w:type="dxa" w:w="403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 Khách hàng cá nhân: Người dùng trực tiếp chuyển tiền, gửi tiết kiệm, thanh toán hóa đơn.</w:t>
              <w:br/>
              <w:t>• Giao dịch viên / Kiểm soát viên: Nhân viên vận hành tại quầy hỗ trợ tra soát khiếu nại, phê duyệt hạn mức.</w:t>
            </w:r>
          </w:p>
        </w:tc>
        <w:tc>
          <w:tcPr>
            <w:tcW w:type="dxa" w:w="331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Tác nhân trực tiếp tương tác, vận hành và thụ hưởng dịch vụ.</w:t>
            </w:r>
          </w:p>
        </w:tc>
      </w:tr>
      <w:tr>
        <w:tc>
          <w:tcPr>
            <w:tcW w:type="dxa" w:w="216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5. Quy trình</w:t>
              <w:br/>
              <w:t>(Process)</w:t>
              <w:br/>
              <w:t>[Điền bổ sung]</w:t>
            </w:r>
          </w:p>
        </w:tc>
        <w:tc>
          <w:tcPr>
            <w:tcW w:type="dxa" w:w="403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Quy trình chuyển tiền nhanh 24/7 trên ứng dụng RikkeiBank:</w:t>
              <w:br/>
              <w:t>1. Khách hàng đăng nhập app bằng FaceID/Mật khẩu.</w:t>
              <w:br/>
              <w:t>2. Chọn ngân hàng và nhập số tài khoản thụ hưởng (hệ thống tự truy vấn tên người nhận).</w:t>
              <w:br/>
              <w:t>3. Nhập số tiền và nội dung chuyển khoản.</w:t>
              <w:br/>
              <w:t>4. Xác thực giao dịch bằng Smart OTP hoặc sinh trắc học khuôn mặt (với món &gt; 10 triệu VNĐ).</w:t>
              <w:br/>
              <w:t>5. Core Banking trừ tiền tài khoản nguồn, điều chuyển qua Napas và gửi thông báo số dư tức thì.</w:t>
            </w:r>
          </w:p>
        </w:tc>
        <w:tc>
          <w:tcPr>
            <w:tcW w:type="dxa" w:w="331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Trình tự các bước xác thực, kiểm tra số dư và thực hiện chuyển khoản an toàn, chính xác.</w:t>
            </w:r>
          </w:p>
        </w:tc>
      </w:tr>
    </w:tbl>
    <w:p>
      <w:pPr>
        <w:spacing w:after="120"/>
      </w:pPr>
    </w:p>
    <w:p>
      <w:pPr>
        <w:keepNext/>
        <w:spacing w:before="200" w:after="80"/>
      </w:pPr>
      <w:r>
        <w:rPr>
          <w:rFonts w:ascii="Calibri" w:hAnsi="Calibri"/>
          <w:b/>
          <w:color w:val="334155"/>
          <w:sz w:val="23"/>
        </w:rPr>
        <w:t>1.2. Phân biệt Dữ liệu (Data) và Thông tin (Information) trong Ngân hàng</w:t>
      </w:r>
    </w:p>
    <w:p>
      <w:pPr>
        <w:spacing w:before="40" w:after="80" w:line="276" w:lineRule="auto"/>
      </w:pPr>
      <w:r>
        <w:rPr>
          <w:rFonts w:ascii="Calibri" w:hAnsi="Calibri"/>
          <w:color w:val="1E293B"/>
          <w:sz w:val="22"/>
        </w:rPr>
        <w:t>Bảng phân loại bản chất giữa dữ liệu số thô và thông tin quản trị tài chính có ngữ cảnh: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87"/>
        <w:gridCol w:w="1987"/>
        <w:gridCol w:w="1987"/>
        <w:gridCol w:w="1987"/>
        <w:gridCol w:w="1987"/>
      </w:tblGrid>
      <w:tr>
        <w:tc>
          <w:tcPr>
            <w:tcW w:type="dxa" w:w="720"/>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STT</w:t>
            </w:r>
          </w:p>
        </w:tc>
        <w:tc>
          <w:tcPr>
            <w:tcW w:type="dxa" w:w="3600"/>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Nội dung dữ liệu tại RikkeiBank</w:t>
            </w:r>
          </w:p>
        </w:tc>
        <w:tc>
          <w:tcPr>
            <w:tcW w:type="dxa" w:w="115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Dữ liệu</w:t>
              <w:br/>
              <w:t>(Data)</w:t>
            </w:r>
          </w:p>
        </w:tc>
        <w:tc>
          <w:tcPr>
            <w:tcW w:type="dxa" w:w="115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Thông tin</w:t>
              <w:br/>
              <w:t>(Info)</w:t>
            </w:r>
          </w:p>
        </w:tc>
        <w:tc>
          <w:tcPr>
            <w:tcW w:type="dxa" w:w="2880"/>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Lý do phân loại</w:t>
            </w:r>
          </w:p>
        </w:tc>
      </w:tr>
      <w:tr>
        <w:tc>
          <w:tcPr>
            <w:tcW w:type="dxa" w:w="72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w:t>
            </w:r>
          </w:p>
        </w:tc>
        <w:tc>
          <w:tcPr>
            <w:tcW w:type="dxa" w:w="360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50000000</w:t>
            </w:r>
          </w:p>
        </w:tc>
        <w:tc>
          <w:tcPr>
            <w:tcW w:type="dxa" w:w="1152"/>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1152"/>
            <w:shd w:fill="FFFFFF"/>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Chuỗi số thô, chưa rõ là tiền gửi, tiền vay hay hạn mức tín dụng.</w:t>
            </w:r>
          </w:p>
        </w:tc>
      </w:tr>
      <w:tr>
        <w:tc>
          <w:tcPr>
            <w:tcW w:type="dxa" w:w="72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2</w:t>
            </w:r>
          </w:p>
        </w:tc>
        <w:tc>
          <w:tcPr>
            <w:tcW w:type="dxa" w:w="360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Khách hàng Trần Văn C chuyển 5.000.000 VNĐ lúc 10:15 ngày 15/08</w:t>
            </w:r>
          </w:p>
        </w:tc>
        <w:tc>
          <w:tcPr>
            <w:tcW w:type="dxa" w:w="1152"/>
            <w:shd w:fill="F8FAFC"/>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1152"/>
            <w:shd w:fill="F8FAFC"/>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288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Đầy đủ ngữ cảnh giao dịch: Ai (Trần Văn C), Số tiền (5 triệu VNĐ), Thời gian (10:15 ngày 15/08).</w:t>
            </w:r>
          </w:p>
        </w:tc>
      </w:tr>
      <w:tr>
        <w:tc>
          <w:tcPr>
            <w:tcW w:type="dxa" w:w="72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3</w:t>
            </w:r>
          </w:p>
        </w:tc>
        <w:tc>
          <w:tcPr>
            <w:tcW w:type="dxa" w:w="360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0987654321</w:t>
            </w:r>
          </w:p>
        </w:tc>
        <w:tc>
          <w:tcPr>
            <w:tcW w:type="dxa" w:w="1152"/>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1152"/>
            <w:shd w:fill="FFFFFF"/>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Chuỗi số thô, có thể là số điện thoại hoặc số tài khoản, chưa có ý nghĩa rõ ràng.</w:t>
            </w:r>
          </w:p>
        </w:tc>
      </w:tr>
      <w:tr>
        <w:tc>
          <w:tcPr>
            <w:tcW w:type="dxa" w:w="72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4</w:t>
            </w:r>
          </w:p>
        </w:tc>
        <w:tc>
          <w:tcPr>
            <w:tcW w:type="dxa" w:w="360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Tổng số dư tiết kiệm trực tuyến của chi nhánh đạt 200 tỷ VNĐ trong tháng 8</w:t>
            </w:r>
          </w:p>
        </w:tc>
        <w:tc>
          <w:tcPr>
            <w:tcW w:type="dxa" w:w="1152"/>
            <w:shd w:fill="F1F5F9"/>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1152"/>
            <w:shd w:fill="F1F5F9"/>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288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Đã được tổng hợp, tính toán từ hàng ngàn tài khoản tiết kiệm; có ngữ cảnh cụ thể (tiết kiệm online, phạm vi chi nhánh, mốc thời gian tháng 8, đơn vị tỷ VNĐ), mang giá trị quản trị để ban giám đốc đánh giá KPI.</w:t>
            </w:r>
          </w:p>
        </w:tc>
      </w:tr>
      <w:tr>
        <w:tc>
          <w:tcPr>
            <w:tcW w:type="dxa" w:w="72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5</w:t>
            </w:r>
          </w:p>
        </w:tc>
        <w:tc>
          <w:tcPr>
            <w:tcW w:type="dxa" w:w="360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TK101, Nguyễn Thị D, Active, Gold</w:t>
            </w:r>
          </w:p>
        </w:tc>
        <w:tc>
          <w:tcPr>
            <w:tcW w:type="dxa" w:w="1152"/>
            <w:shd w:fill="F1F5F9"/>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 x ]</w:t>
            </w:r>
          </w:p>
        </w:tc>
        <w:tc>
          <w:tcPr>
            <w:tcW w:type="dxa" w:w="1152"/>
            <w:shd w:fill="F1F5F9"/>
            <w:vAlign w:val="center"/>
            <w:tcMar>
              <w:top w:w="100" w:type="dxa"/>
              <w:bottom w:w="100" w:type="dxa"/>
              <w:left w:w="140" w:type="dxa"/>
              <w:right w:w="140" w:type="dxa"/>
            </w:tcMar>
          </w:tcPr>
          <w:p>
            <w:pPr>
              <w:spacing w:line="276" w:lineRule="auto" w:before="40" w:after="40"/>
              <w:jc w:val="center"/>
            </w:pPr>
            <w:r>
              <w:rPr>
                <w:rFonts w:ascii="Calibri" w:hAnsi="Calibri"/>
                <w:color w:val="1E293B"/>
                <w:sz w:val="21"/>
              </w:rPr>
              <w:t>[   ]</w:t>
            </w:r>
          </w:p>
        </w:tc>
        <w:tc>
          <w:tcPr>
            <w:tcW w:type="dxa" w:w="288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Tập hợp các trường thuộc tính thô (mã TK, tên, trạng thái, hạng thẻ) ngăn cách bởi dấu phẩy; chỉ là một bản ghi trong CSDL, chưa đặt vào câu có ngữ nghĩa hay mục đích phân tích cụ thể.</w:t>
            </w:r>
          </w:p>
        </w:tc>
      </w:tr>
    </w:tbl>
    <w:p>
      <w:pPr>
        <w:spacing w:after="160"/>
      </w:pPr>
    </w:p>
    <w:p>
      <w:pPr>
        <w:keepNext/>
        <w:spacing w:before="280" w:after="120"/>
      </w:pPr>
      <w:r>
        <w:rPr>
          <w:rFonts w:ascii="Calibri" w:hAnsi="Calibri"/>
          <w:b/>
          <w:color w:val="1E293B"/>
          <w:sz w:val="26"/>
        </w:rPr>
        <w:t>BƯỚC 2: KHẢO SÁT MÔI TRƯỜNG VÀ XÁC ĐỊNH STAKEHOLDERS</w:t>
      </w:r>
    </w:p>
    <w:p>
      <w:pPr>
        <w:keepNext/>
        <w:spacing w:before="200" w:after="80"/>
      </w:pPr>
      <w:r>
        <w:rPr>
          <w:rFonts w:ascii="Calibri" w:hAnsi="Calibri"/>
          <w:b/>
          <w:color w:val="334155"/>
          <w:sz w:val="23"/>
        </w:rPr>
        <w:t>2.1. Khảo sát các yếu tố môi trường tác động đến RikkeiBank</w:t>
      </w:r>
    </w:p>
    <w:p>
      <w:pPr>
        <w:spacing w:before="40" w:after="80" w:line="276" w:lineRule="auto"/>
      </w:pPr>
      <w:r>
        <w:rPr>
          <w:rFonts w:ascii="Calibri" w:hAnsi="Calibri"/>
          <w:color w:val="1E293B"/>
          <w:sz w:val="22"/>
        </w:rPr>
        <w:t>Đánh giá các tác nhân môi trường bên trong và bên ngoài chi phối kiến trúc và quy định an toàn của hệ thống ngân hàng số:</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024"/>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Yếu tố khảo sát tại RikkeiBank</w:t>
            </w:r>
          </w:p>
        </w:tc>
        <w:tc>
          <w:tcPr>
            <w:tcW w:type="dxa" w:w="2448"/>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Thuộc loại môi trường</w:t>
            </w:r>
          </w:p>
        </w:tc>
        <w:tc>
          <w:tcPr>
            <w:tcW w:type="dxa" w:w="403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Tầm ảnh hưởng đến hệ thống</w:t>
            </w:r>
          </w:p>
        </w:tc>
      </w:tr>
      <w:tr>
        <w:tc>
          <w:tcPr>
            <w:tcW w:type="dxa" w:w="302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Năng lực bảo mật của đội ngũ IT</w:t>
            </w:r>
          </w:p>
        </w:tc>
        <w:tc>
          <w:tcPr>
            <w:tcW w:type="dxa" w:w="244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Nội bộ</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Quyết định khả năng phòng chống tấn công mạng và duy trì an ninh cho hệ thống.</w:t>
            </w:r>
          </w:p>
        </w:tc>
      </w:tr>
      <w:tr>
        <w:tc>
          <w:tcPr>
            <w:tcW w:type="dxa" w:w="3024"/>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Thông tư an toàn thông tin Ngân hàng Nhà nước</w:t>
            </w:r>
          </w:p>
        </w:tc>
        <w:tc>
          <w:tcPr>
            <w:tcW w:type="dxa" w:w="244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Bên ngoài</w:t>
            </w:r>
          </w:p>
        </w:tc>
        <w:tc>
          <w:tcPr>
            <w:tcW w:type="dxa" w:w="4032"/>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Quy định bắt buộc về xác thực sinh trắc học (QĐ 2345) và quy chuẩn bảo vệ dữ liệu tài chính.</w:t>
            </w:r>
          </w:p>
        </w:tc>
      </w:tr>
      <w:tr>
        <w:tc>
          <w:tcPr>
            <w:tcW w:type="dxa" w:w="302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Hệ thống đường truyền liên ngân hàng Napas</w:t>
            </w:r>
          </w:p>
        </w:tc>
        <w:tc>
          <w:tcPr>
            <w:tcW w:type="dxa" w:w="244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Bên ngoài</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Ảnh hưởng trực tiếp đến tốc độ và tỷ lệ thành công của các giao dịch chuyển tiền liên ngân hàng 24/7.</w:t>
            </w:r>
          </w:p>
        </w:tc>
      </w:tr>
      <w:tr>
        <w:tc>
          <w:tcPr>
            <w:tcW w:type="dxa" w:w="3024"/>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Thói quen sử dụng điện thoại của người cao tuổi</w:t>
              <w:br/>
              <w:t>[Điền bổ sung]</w:t>
            </w:r>
          </w:p>
        </w:tc>
        <w:tc>
          <w:tcPr>
            <w:tcW w:type="dxa" w:w="2448"/>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Bên ngoài</w:t>
            </w:r>
          </w:p>
        </w:tc>
        <w:tc>
          <w:tcPr>
            <w:tcW w:type="dxa" w:w="403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Đòi hỏi thiết kế chế độ giao diện đơn giản (font chữ lớn, độ tương phản cao, thao tác tối giản) để nhóm khách hàng lớn tuổi dễ dàng thao tác mà không bị nhầm lẫn khi chuyển tiền.</w:t>
            </w:r>
          </w:p>
        </w:tc>
      </w:tr>
      <w:tr>
        <w:tc>
          <w:tcPr>
            <w:tcW w:type="dxa" w:w="3024"/>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Chính sách lãi suất của các ngân hàng đối thủ</w:t>
              <w:br/>
              <w:t>[Điền bổ sung]</w:t>
            </w:r>
          </w:p>
        </w:tc>
        <w:tc>
          <w:tcPr>
            <w:tcW w:type="dxa" w:w="2448"/>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Môi trường Bên ngoài</w:t>
            </w:r>
          </w:p>
        </w:tc>
        <w:tc>
          <w:tcPr>
            <w:tcW w:type="dxa" w:w="403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Buộc RikkeiBank phải thiết kế phân hệ tiền gửi linh hoạt (cho phép cấu hình bảng lãi suất động, tính lãi bậc thang, hiển thị lãi dự kiến) để phản ứng nhanh trước thị trường, giúp thu hút và giữ chân tiền gửi.</w:t>
            </w:r>
          </w:p>
        </w:tc>
      </w:tr>
    </w:tbl>
    <w:p>
      <w:pPr>
        <w:spacing w:after="120"/>
      </w:pPr>
    </w:p>
    <w:p>
      <w:pPr>
        <w:keepNext/>
        <w:spacing w:before="200" w:after="80"/>
      </w:pPr>
      <w:r>
        <w:rPr>
          <w:rFonts w:ascii="Calibri" w:hAnsi="Calibri"/>
          <w:b/>
          <w:color w:val="334155"/>
          <w:sz w:val="23"/>
        </w:rPr>
        <w:t>2.2. Xác định các nhóm bên liên quan (Stakeholders)</w:t>
      </w:r>
    </w:p>
    <w:p>
      <w:pPr>
        <w:spacing w:before="40" w:after="80" w:line="276" w:lineRule="auto"/>
      </w:pPr>
      <w:r>
        <w:rPr>
          <w:rFonts w:ascii="Calibri" w:hAnsi="Calibri"/>
          <w:color w:val="1E293B"/>
          <w:sz w:val="22"/>
        </w:rPr>
        <w:t>Phân loại vai trò và nhu cầu trọng yếu của các nhóm người dùng đối với phần mềm ngân hàng: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259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Nhóm Stakeholder</w:t>
            </w:r>
          </w:p>
        </w:tc>
        <w:tc>
          <w:tcPr>
            <w:tcW w:type="dxa" w:w="2880"/>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Vai trò trong dự án</w:t>
            </w:r>
          </w:p>
        </w:tc>
        <w:tc>
          <w:tcPr>
            <w:tcW w:type="dxa" w:w="403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Mối quan tâm lớn nhất đối với phần mềm</w:t>
            </w:r>
          </w:p>
        </w:tc>
      </w:tr>
      <w:tr>
        <w:tc>
          <w:tcPr>
            <w:tcW w:type="dxa" w:w="259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 Khách hàng cá nhân</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Người dùng dịch vụ cuối</w:t>
            </w:r>
          </w:p>
        </w:tc>
        <w:tc>
          <w:tcPr>
            <w:tcW w:type="dxa" w:w="403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Chuyển tiền nhanh chóng, an toàn, giao diện mượt mà, không gặp lỗi nghẽn giao dịch.</w:t>
            </w:r>
          </w:p>
        </w:tc>
      </w:tr>
      <w:tr>
        <w:tc>
          <w:tcPr>
            <w:tcW w:type="dxa" w:w="2592"/>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2. Chuyên viên An ninh mạng</w:t>
            </w:r>
          </w:p>
        </w:tc>
        <w:tc>
          <w:tcPr>
            <w:tcW w:type="dxa" w:w="288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Giám sát bảo mật</w:t>
            </w:r>
          </w:p>
        </w:tc>
        <w:tc>
          <w:tcPr>
            <w:tcW w:type="dxa" w:w="4032"/>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Hệ thống chống rò rỉ mã OTP, mã hóa dữ liệu đầu cuối và phát hiện giao dịch bất thường.</w:t>
            </w:r>
          </w:p>
        </w:tc>
      </w:tr>
      <w:tr>
        <w:tc>
          <w:tcPr>
            <w:tcW w:type="dxa" w:w="259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3. Giao dịch viên tại quầy</w:t>
              <w:br/>
              <w:t>[Điền bổ sung]</w:t>
            </w:r>
          </w:p>
        </w:tc>
        <w:tc>
          <w:tcPr>
            <w:tcW w:type="dxa" w:w="288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Người dùng nghiệp vụ nội bộ (Bộ phận tiếp đón &amp; xử lý giao dịch tại chi nhánh)</w:t>
            </w:r>
          </w:p>
        </w:tc>
        <w:tc>
          <w:tcPr>
            <w:tcW w:type="dxa" w:w="403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Đồng bộ dữ liệu tức thời giữa Mobile Banking và Core Banking; tra cứu nhanh lịch sử giao dịch và trạng thái tài khoản để xử lý nhanh tra soát khiếu nại (treo lệnh Napas, khóa app, mở khóa Smart OTP).</w:t>
            </w:r>
          </w:p>
        </w:tc>
      </w:tr>
    </w:tbl>
    <w:p>
      <w:pPr>
        <w:spacing w:after="160"/>
      </w:pPr>
    </w:p>
    <w:p>
      <w:pPr>
        <w:keepNext/>
        <w:spacing w:before="280" w:after="120"/>
      </w:pPr>
      <w:r>
        <w:rPr>
          <w:rFonts w:ascii="Calibri" w:hAnsi="Calibri"/>
          <w:b/>
          <w:color w:val="1E293B"/>
          <w:sz w:val="26"/>
        </w:rPr>
        <w:t>BƯỚC 3: LỰA CHỌN KỸ THUẬT THU THẬP YÊU CẦU VÀ SOẠN CÂU HỎI MẪU</w:t>
      </w:r>
    </w:p>
    <w:p>
      <w:pPr>
        <w:keepNext/>
        <w:spacing w:before="200" w:after="80"/>
      </w:pPr>
      <w:r>
        <w:rPr>
          <w:rFonts w:ascii="Calibri" w:hAnsi="Calibri"/>
          <w:b/>
          <w:color w:val="334155"/>
          <w:sz w:val="23"/>
        </w:rPr>
        <w:t>3.1. Lựa chọn kỹ thuật thu thập yêu cầu phù hợp với từng tình huống</w:t>
      </w:r>
    </w:p>
    <w:p>
      <w:pPr>
        <w:spacing w:before="40" w:after="80" w:line="276" w:lineRule="auto"/>
      </w:pPr>
      <w:r>
        <w:rPr>
          <w:rFonts w:ascii="Calibri" w:hAnsi="Calibri"/>
          <w:color w:val="1E293B"/>
          <w:sz w:val="22"/>
        </w:rPr>
        <w:t>Lựa chọn kỹ thuật khảo sát tối ưu theo quy mô người dùng và tính chất nhạy cảm của dữ liệu tài chính: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720"/>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STT</w:t>
            </w:r>
          </w:p>
        </w:tc>
        <w:tc>
          <w:tcPr>
            <w:tcW w:type="dxa" w:w="3744"/>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Tình huống khảo sát tại RikkeiBank</w:t>
            </w:r>
          </w:p>
        </w:tc>
        <w:tc>
          <w:tcPr>
            <w:tcW w:type="dxa" w:w="2448"/>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Kỹ thuật phù hợp nhất</w:t>
            </w:r>
          </w:p>
        </w:tc>
        <w:tc>
          <w:tcPr>
            <w:tcW w:type="dxa" w:w="259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Lý do lựa chọn ngắn gọn</w:t>
            </w:r>
          </w:p>
        </w:tc>
      </w:tr>
      <w:tr>
        <w:tc>
          <w:tcPr>
            <w:tcW w:type="dxa" w:w="72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w:t>
            </w:r>
          </w:p>
        </w:tc>
        <w:tc>
          <w:tcPr>
            <w:tcW w:type="dxa" w:w="374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Khảo sát nhu cầu giao dịch của 50.000 khách hàng trẻ Gen Z</w:t>
            </w:r>
          </w:p>
        </w:tc>
        <w:tc>
          <w:tcPr>
            <w:tcW w:type="dxa" w:w="244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Bảng câu hỏi / Khảo sát (Survey)</w:t>
            </w:r>
          </w:p>
        </w:tc>
        <w:tc>
          <w:tcPr>
            <w:tcW w:type="dxa" w:w="2592"/>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Quy mô người dùng cực lớn, thu thập nhanh số liệu định lượng với chi phí hợp lý.</w:t>
            </w:r>
          </w:p>
        </w:tc>
      </w:tr>
      <w:tr>
        <w:tc>
          <w:tcPr>
            <w:tcW w:type="dxa" w:w="72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2</w:t>
            </w:r>
          </w:p>
        </w:tc>
        <w:tc>
          <w:tcPr>
            <w:tcW w:type="dxa" w:w="3744"/>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Làm rõ quy định đối soát và hạn mức chuyển khoản với Giám đốc rủi ro</w:t>
            </w:r>
          </w:p>
        </w:tc>
        <w:tc>
          <w:tcPr>
            <w:tcW w:type="dxa" w:w="244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Phỏng vấn (Interview)</w:t>
            </w:r>
          </w:p>
        </w:tc>
        <w:tc>
          <w:tcPr>
            <w:tcW w:type="dxa" w:w="2592"/>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Chuyên gia cấp cao, cần trao đổi sâu về chính sách nghiệp vụ và kiểm soát rủi ro.</w:t>
            </w:r>
          </w:p>
        </w:tc>
      </w:tr>
      <w:tr>
        <w:tc>
          <w:tcPr>
            <w:tcW w:type="dxa" w:w="72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3</w:t>
            </w:r>
          </w:p>
        </w:tc>
        <w:tc>
          <w:tcPr>
            <w:tcW w:type="dxa" w:w="3744"/>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Xem thực tế thao tác nhập lệnh chuyển tiền quốc tế của giao dịch viên</w:t>
              <w:br/>
              <w:t>[Điền bổ sung]</w:t>
            </w:r>
          </w:p>
        </w:tc>
        <w:tc>
          <w:tcPr>
            <w:tcW w:type="dxa" w:w="2448"/>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Quan sát thực tế</w:t>
              <w:br/>
              <w:t>(Observation)</w:t>
            </w:r>
          </w:p>
        </w:tc>
        <w:tc>
          <w:tcPr>
            <w:tcW w:type="dxa" w:w="259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Giúp BA chứng kiến trực tiếp thao tác nhập liệu thực tế trên hệ thống nội bộ, đếm số bước thao tác và phát hiện các điểm nghẽn dễ gây nhầm lẫn mà giao dịch viên có thể quên kể khi phỏng vấn.</w:t>
            </w:r>
          </w:p>
        </w:tc>
      </w:tr>
      <w:tr>
        <w:tc>
          <w:tcPr>
            <w:tcW w:type="dxa" w:w="72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4</w:t>
            </w:r>
          </w:p>
        </w:tc>
        <w:tc>
          <w:tcPr>
            <w:tcW w:type="dxa" w:w="3744"/>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Đọc các văn bản hướng dẫn tiêu chuẩn bảo mật thanh toán PCI-DSS</w:t>
            </w:r>
          </w:p>
        </w:tc>
        <w:tc>
          <w:tcPr>
            <w:tcW w:type="dxa" w:w="244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Nghiên cứu tài liệu</w:t>
              <w:br/>
              <w:t>(Document Analysis)</w:t>
            </w:r>
          </w:p>
        </w:tc>
        <w:tc>
          <w:tcPr>
            <w:tcW w:type="dxa" w:w="2592"/>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Tiêu chuẩn quốc tế dạng văn bản quy chuẩn có sẵn, chuẩn xác và bắt buộc tuân thủ.</w:t>
            </w:r>
          </w:p>
        </w:tc>
      </w:tr>
      <w:tr>
        <w:tc>
          <w:tcPr>
            <w:tcW w:type="dxa" w:w="72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5</w:t>
            </w:r>
          </w:p>
        </w:tc>
        <w:tc>
          <w:tcPr>
            <w:tcW w:type="dxa" w:w="3744"/>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Lấy ý kiến đóng góp của nhóm 15 chuyên viên chăm sóc khách hàng VIP</w:t>
              <w:br/>
              <w:t>[Điền bổ sung]</w:t>
            </w:r>
          </w:p>
        </w:tc>
        <w:tc>
          <w:tcPr>
            <w:tcW w:type="dxa" w:w="2448"/>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Thảo luận nhóm tập trung</w:t>
              <w:br/>
              <w:t>(Focus Group / Workshop)</w:t>
            </w:r>
          </w:p>
        </w:tc>
        <w:tc>
          <w:tcPr>
            <w:tcW w:type="dxa" w:w="2592"/>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Quy mô 15 người cùng làm chuyên môn; thảo luận nhóm giúp các chuyên viên cùng chia sẻ kỳ vọng đặc thù và nhanh chóng thống nhất các tính năng phục vụ khách hàng VIP (quản lý tài sản, hạn mức lớn).</w:t>
            </w:r>
          </w:p>
        </w:tc>
      </w:tr>
    </w:tbl>
    <w:p>
      <w:pPr>
        <w:spacing w:after="120"/>
      </w:pPr>
    </w:p>
    <w:p>
      <w:pPr>
        <w:keepNext/>
        <w:spacing w:before="200" w:after="80"/>
      </w:pPr>
      <w:r>
        <w:rPr>
          <w:rFonts w:ascii="Calibri" w:hAnsi="Calibri"/>
          <w:b/>
          <w:color w:val="334155"/>
          <w:sz w:val="23"/>
        </w:rPr>
        <w:t>3.2. Hoàn thiện câu hỏi trắc nghiệm khảo sát khách hàng cá nhân</w:t>
      </w:r>
    </w:p>
    <w:p>
      <w:pPr>
        <w:spacing w:before="40" w:after="80" w:line="276" w:lineRule="auto"/>
      </w:pPr>
      <w:r>
        <w:rPr>
          <w:rFonts w:ascii="Calibri" w:hAnsi="Calibri"/>
          <w:color w:val="1E293B"/>
          <w:sz w:val="22"/>
        </w:rPr>
        <w:t>Thiết kế câu hỏi trắc nghiệm một lựa chọn (Single Choice) để lượng hóa nhu cầu ưu tiên hàng đầu của người dùng đại chúng:</w:t>
      </w:r>
    </w:p>
    <w:tbl>
      <w:tblPr>
        <w:tblW w:type="auto" w:w="0"/>
        <w:jc w:val="center"/>
        <w:tblLayout w:type="fixed"/>
        <w:tblLook w:firstColumn="1" w:firstRow="1" w:lastColumn="0" w:lastRow="0" w:noHBand="0" w:noVBand="1" w:val="04A0"/>
      </w:tblPr>
      <w:tblGrid>
        <w:gridCol w:w="9936"/>
      </w:tblGrid>
      <w:tr>
        <w:tc>
          <w:tcPr>
            <w:tcW w:type="dxa" w:w="9504"/>
            <w:shd w:fill="F8FAFC"/>
            <w:tcMar>
              <w:top w:w="140" w:type="dxa"/>
              <w:bottom w:w="140" w:type="dxa"/>
              <w:left w:w="200" w:type="dxa"/>
              <w:right w:w="200" w:type="dxa"/>
            </w:tcMar>
            <w:tcBorders>
              <w:top w:val="none"/>
              <w:bottom w:val="none"/>
              <w:left w:val="single" w:sz="18" w:space="0" w:color="334155"/>
              <w:right w:val="none"/>
            </w:tcBorders>
          </w:tcPr>
          <w:p>
            <w:pPr>
              <w:spacing w:before="0" w:after="0" w:line="288" w:lineRule="auto"/>
            </w:pPr>
            <w:r>
              <w:rPr>
                <w:rFonts w:ascii="Calibri" w:hAnsi="Calibri"/>
                <w:b/>
                <w:color w:val="1E293B"/>
                <w:sz w:val="22"/>
              </w:rPr>
              <w:t>Câu hỏi trắc nghiệm hoàn chỉnh:</w:t>
              <w:br/>
            </w:r>
            <w:r>
              <w:rPr>
                <w:rFonts w:ascii="Calibri" w:hAnsi="Calibri"/>
                <w:color w:val="1E293B"/>
                <w:sz w:val="22"/>
              </w:rPr>
              <w:t>"Khi chuyển tiền trên ứng dụng RikkeiBank, yếu tố nào quan trọng nhất với bạn?</w:t>
              <w:br/>
              <w:t xml:space="preserve">  A. Tốc độ giao dịch tức thì (tiền đến tài khoản người nhận trong vòng dưới 3 giây)</w:t>
              <w:br/>
              <w:t xml:space="preserve">  B. Tính an toàn và bảo mật cao (xác thực sinh trắc học, chống rò rỉ mã OTP)</w:t>
              <w:br/>
              <w:t xml:space="preserve">  C. Miễn phí hoàn toàn các khoản phí (phí chuyển khoản liên ngân hàng, phí duy trì tài khoản)</w:t>
              <w:br/>
              <w:t xml:space="preserve">  D. Giao diện đơn giản, dễ thao tác (lưu sẵn danh bạ thụ hưởng, chuyển tiền bằng mã QR)"</w:t>
            </w:r>
          </w:p>
        </w:tc>
      </w:tr>
    </w:tbl>
    <w:p>
      <w:pPr>
        <w:spacing w:after="120"/>
      </w:pPr>
    </w:p>
    <w:p>
      <w:pPr>
        <w:spacing w:before="40" w:after="80" w:line="276" w:lineRule="auto"/>
      </w:pPr>
      <w:r>
        <w:rPr>
          <w:rFonts w:ascii="Calibri" w:hAnsi="Calibri"/>
          <w:b/>
          <w:color w:val="1E293B"/>
          <w:sz w:val="22"/>
        </w:rPr>
        <w:t xml:space="preserve">• Phân tích nghiệp vụ: </w:t>
      </w:r>
      <w:r>
        <w:rPr>
          <w:rFonts w:ascii="Calibri" w:hAnsi="Calibri"/>
          <w:color w:val="1E293B"/>
          <w:sz w:val="22"/>
        </w:rPr>
        <w:t>Ý nghĩa phân tích số liệu đối với BA &amp; Đội ngũ sản phẩm:</w:t>
      </w:r>
    </w:p>
    <w:p>
      <w:pPr>
        <w:spacing w:before="40" w:after="80" w:line="276" w:lineRule="auto"/>
      </w:pPr>
      <w:r>
        <w:rPr>
          <w:rFonts w:ascii="Calibri" w:hAnsi="Calibri"/>
          <w:color w:val="1E293B"/>
          <w:sz w:val="22"/>
        </w:rPr>
        <w:t>Câu hỏi đóng dạng trắc nghiệm này giúp BA thu thập số liệu định lượng chính xác từ hàng chục ngàn khách hàng. Tỷ lệ % lựa chọn sẽ phản ánh rõ nét khách hàng đang đặt nặng yếu tố nào (Tốc độ, An ninh, Chi phí hay Trải nghiệm người dùng UX), từ đó làm căn cứ vững chắc để Product Owner quyết định tính năng ưu tiên phát triển trong phiên bản đầu tiên (MVP).</w:t>
      </w:r>
    </w:p>
    <w:p>
      <w:pPr>
        <w:spacing w:after="160"/>
      </w:pPr>
    </w:p>
    <w:p>
      <w:pPr>
        <w:keepNext/>
        <w:spacing w:before="280" w:after="120"/>
      </w:pPr>
      <w:r>
        <w:rPr>
          <w:rFonts w:ascii="Calibri" w:hAnsi="Calibri"/>
          <w:b/>
          <w:color w:val="1E293B"/>
          <w:sz w:val="26"/>
        </w:rPr>
        <w:t>BƯỚC 4: PHÂN LOẠI YÊU CẦU CHỨC NĂNG (FR) VÀ PHI CHỨC NĂNG (NFR)</w:t>
      </w:r>
    </w:p>
    <w:p>
      <w:pPr>
        <w:spacing w:before="40" w:after="80" w:line="276" w:lineRule="auto"/>
      </w:pPr>
      <w:r>
        <w:rPr>
          <w:rFonts w:ascii="Calibri" w:hAnsi="Calibri"/>
          <w:color w:val="1E293B"/>
          <w:sz w:val="22"/>
        </w:rPr>
        <w:t>Bóc tách và định danh chính xác giữa tính năng nghiệp vụ và tiêu chuẩn chất lượng hệ thống: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864"/>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STT</w:t>
            </w:r>
          </w:p>
        </w:tc>
        <w:tc>
          <w:tcPr>
            <w:tcW w:type="dxa" w:w="3888"/>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Phát biểu yêu cầu</w:t>
            </w:r>
          </w:p>
        </w:tc>
        <w:tc>
          <w:tcPr>
            <w:tcW w:type="dxa" w:w="1872"/>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Phân loại</w:t>
              <w:br/>
              <w:t>(Mã đề xuất)</w:t>
            </w:r>
          </w:p>
        </w:tc>
        <w:tc>
          <w:tcPr>
            <w:tcW w:type="dxa" w:w="2880"/>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Câu hỏi cốt lõi giải thích</w:t>
            </w:r>
          </w:p>
        </w:tc>
      </w:tr>
      <w:tr>
        <w:tc>
          <w:tcPr>
            <w:tcW w:type="dxa" w:w="86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(1)</w:t>
            </w:r>
          </w:p>
        </w:tc>
        <w:tc>
          <w:tcPr>
            <w:tcW w:type="dxa" w:w="388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Khách hàng có thể quét mã QR để thanh toán hóa đơn</w:t>
            </w:r>
          </w:p>
        </w:tc>
        <w:tc>
          <w:tcPr>
            <w:tcW w:type="dxa" w:w="1872"/>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FR</w:t>
              <w:br/>
              <w:t>(FR-01)</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Hành động hệ thống cung cấp (LÀM GÌ: tính năng thanh toán QR).</w:t>
            </w:r>
          </w:p>
        </w:tc>
      </w:tr>
      <w:tr>
        <w:tc>
          <w:tcPr>
            <w:tcW w:type="dxa" w:w="864"/>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(2)</w:t>
            </w:r>
          </w:p>
        </w:tc>
        <w:tc>
          <w:tcPr>
            <w:tcW w:type="dxa" w:w="388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Giao dịch chuyển tiền phải hoàn tất trong vòng dưới 3 giây</w:t>
            </w:r>
          </w:p>
        </w:tc>
        <w:tc>
          <w:tcPr>
            <w:tcW w:type="dxa" w:w="1872"/>
            <w:shd w:fill="F8FAFC"/>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NFR</w:t>
              <w:br/>
              <w:t>(NFR-01)</w:t>
            </w:r>
          </w:p>
        </w:tc>
        <w:tc>
          <w:tcPr>
            <w:tcW w:type="dxa" w:w="2880"/>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Tiêu chuẩn tốc độ xử lý: hệ thống chạy TỐT NHƯ THẾ NÀO (hiệu năng thời gian phản hồi).</w:t>
            </w:r>
          </w:p>
        </w:tc>
      </w:tr>
      <w:tr>
        <w:tc>
          <w:tcPr>
            <w:tcW w:type="dxa" w:w="864"/>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(3)</w:t>
            </w:r>
          </w:p>
        </w:tc>
        <w:tc>
          <w:tcPr>
            <w:tcW w:type="dxa" w:w="388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Mọi giao dịch trên 10 triệu VNĐ bắt buộc xác thực sinh trắc học khuôn mặt</w:t>
            </w:r>
          </w:p>
        </w:tc>
        <w:tc>
          <w:tcPr>
            <w:tcW w:type="dxa" w:w="1872"/>
            <w:shd w:fill="FFFFFF"/>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NFR</w:t>
              <w:br/>
              <w:t>(NFR-02)</w:t>
            </w:r>
          </w:p>
        </w:tc>
        <w:tc>
          <w:tcPr>
            <w:tcW w:type="dxa" w:w="2880"/>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Tiêu chuẩn an ninh và bảo mật: bảo vệ an toàn giao dịch TỐT NHƯ THẾ NÀO.</w:t>
            </w:r>
          </w:p>
        </w:tc>
      </w:tr>
      <w:tr>
        <w:tc>
          <w:tcPr>
            <w:tcW w:type="dxa" w:w="864"/>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(4)</w:t>
            </w:r>
          </w:p>
        </w:tc>
        <w:tc>
          <w:tcPr>
            <w:tcW w:type="dxa" w:w="3888"/>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Khách hàng có thể mở sổ tiết kiệm trực tuyến ngay trên ứng dụng</w:t>
              <w:br/>
              <w:t>[Điền bổ sung]</w:t>
            </w:r>
          </w:p>
        </w:tc>
        <w:tc>
          <w:tcPr>
            <w:tcW w:type="dxa" w:w="1872"/>
            <w:shd w:fill="F1F5F9"/>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FR</w:t>
              <w:br/>
              <w:t>(FR-02)</w:t>
            </w:r>
          </w:p>
        </w:tc>
        <w:tc>
          <w:tcPr>
            <w:tcW w:type="dxa" w:w="288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Hành động hệ thống cung cấp (LÀM GÌ: tính năng mở sổ tiết kiệm online và trích tiền tự động từ tài khoản thanh toán).</w:t>
            </w:r>
          </w:p>
        </w:tc>
      </w:tr>
      <w:tr>
        <w:tc>
          <w:tcPr>
            <w:tcW w:type="dxa" w:w="864"/>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(5)</w:t>
            </w:r>
          </w:p>
        </w:tc>
        <w:tc>
          <w:tcPr>
            <w:tcW w:type="dxa" w:w="3888"/>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Hệ thống Core Banking chịu tải được 10.000 giao dịch đồng thời mỗi giây</w:t>
              <w:br/>
              <w:t>[Điền bổ sung]</w:t>
            </w:r>
          </w:p>
        </w:tc>
        <w:tc>
          <w:tcPr>
            <w:tcW w:type="dxa" w:w="1872"/>
            <w:shd w:fill="F1F5F9"/>
            <w:vAlign w:val="center"/>
            <w:tcMar>
              <w:top w:w="100" w:type="dxa"/>
              <w:bottom w:w="100" w:type="dxa"/>
              <w:left w:w="140" w:type="dxa"/>
              <w:right w:w="140" w:type="dxa"/>
            </w:tcMar>
          </w:tcPr>
          <w:p>
            <w:pPr>
              <w:spacing w:line="276" w:lineRule="auto" w:before="40" w:after="40"/>
              <w:jc w:val="center"/>
            </w:pPr>
            <w:r>
              <w:rPr>
                <w:rFonts w:ascii="Calibri" w:hAnsi="Calibri"/>
                <w:b/>
                <w:color w:val="1E293B"/>
                <w:sz w:val="21"/>
              </w:rPr>
              <w:t>NFR</w:t>
              <w:br/>
              <w:t>(NFR-03)</w:t>
            </w:r>
          </w:p>
        </w:tc>
        <w:tc>
          <w:tcPr>
            <w:tcW w:type="dxa" w:w="2880"/>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Tiêu chuẩn về năng lực chịu tải và độ mở rộng (Scalability &amp; Throughput): hệ thống chịu tải TỐT NHƯ THẾ NÀO trong giờ cao điểm mà không bị sập nguồn.</w:t>
            </w:r>
          </w:p>
        </w:tc>
      </w:tr>
    </w:tbl>
    <w:p>
      <w:pPr>
        <w:spacing w:after="160"/>
      </w:pPr>
    </w:p>
    <w:p>
      <w:pPr>
        <w:keepNext/>
        <w:spacing w:before="280" w:after="120"/>
      </w:pPr>
      <w:r>
        <w:rPr>
          <w:rFonts w:ascii="Calibri" w:hAnsi="Calibri"/>
          <w:b/>
          <w:color w:val="1E293B"/>
          <w:sz w:val="26"/>
        </w:rPr>
        <w:t>BƯỚC 5: ĐẶC TẢ USER STORY CHUẨN BA THÀNH PHẦN</w:t>
      </w:r>
    </w:p>
    <w:p>
      <w:pPr>
        <w:keepNext/>
        <w:spacing w:before="200" w:after="80"/>
      </w:pPr>
      <w:r>
        <w:rPr>
          <w:rFonts w:ascii="Calibri" w:hAnsi="Calibri"/>
          <w:b/>
          <w:color w:val="334155"/>
          <w:sz w:val="23"/>
        </w:rPr>
        <w:t>5.1. Bảng User Story dành cho Khách hàng chuyển tiền</w:t>
      </w:r>
    </w:p>
    <w:p>
      <w:pPr>
        <w:spacing w:before="40" w:after="80" w:line="276" w:lineRule="auto"/>
      </w:pPr>
      <w:r>
        <w:rPr>
          <w:rFonts w:ascii="Calibri" w:hAnsi="Calibri"/>
          <w:color w:val="1E293B"/>
          <w:sz w:val="22"/>
        </w:rPr>
        <w:t>Đặc tả yêu cầu người dùng theo cấu trúc 3 thành phần chuẩn Scrum/Agile: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3456"/>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Thành phần User Story</w:t>
            </w:r>
          </w:p>
        </w:tc>
        <w:tc>
          <w:tcPr>
            <w:tcW w:type="dxa" w:w="6048"/>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Nội dung đặc tả dành cho Khách hàng</w:t>
            </w:r>
          </w:p>
        </w:tc>
      </w:tr>
      <w:tr>
        <w:tc>
          <w:tcPr>
            <w:tcW w:type="dxa" w:w="3456"/>
            <w:shd w:fill="FFFFFF"/>
            <w:vAlign w:val="center"/>
            <w:tcMar>
              <w:top w:w="100" w:type="dxa"/>
              <w:bottom w:w="100" w:type="dxa"/>
              <w:left w:w="140" w:type="dxa"/>
              <w:right w:w="140" w:type="dxa"/>
            </w:tcMar>
          </w:tcPr>
          <w:p>
            <w:pPr>
              <w:spacing w:line="276" w:lineRule="auto" w:before="40" w:after="40"/>
            </w:pPr>
            <w:r>
              <w:rPr>
                <w:rFonts w:ascii="Calibri" w:hAnsi="Calibri"/>
                <w:b/>
                <w:color w:val="1E293B"/>
                <w:sz w:val="21"/>
              </w:rPr>
              <w:t>Là một (Vai trò - Who):</w:t>
            </w:r>
          </w:p>
        </w:tc>
        <w:tc>
          <w:tcPr>
            <w:tcW w:type="dxa" w:w="604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Khách hàng sử dụng ứng dụng RikkeiBank</w:t>
            </w:r>
          </w:p>
        </w:tc>
      </w:tr>
      <w:tr>
        <w:tc>
          <w:tcPr>
            <w:tcW w:type="dxa" w:w="3456"/>
            <w:shd w:fill="F8FAFC"/>
            <w:vAlign w:val="center"/>
            <w:tcMar>
              <w:top w:w="100" w:type="dxa"/>
              <w:bottom w:w="100" w:type="dxa"/>
              <w:left w:w="140" w:type="dxa"/>
              <w:right w:w="140" w:type="dxa"/>
            </w:tcMar>
          </w:tcPr>
          <w:p>
            <w:pPr>
              <w:spacing w:line="276" w:lineRule="auto" w:before="40" w:after="40"/>
            </w:pPr>
            <w:r>
              <w:rPr>
                <w:rFonts w:ascii="Calibri" w:hAnsi="Calibri"/>
                <w:b/>
                <w:color w:val="1E293B"/>
                <w:sz w:val="21"/>
              </w:rPr>
              <w:t>Tôi muốn (Hành động - What):</w:t>
            </w:r>
          </w:p>
        </w:tc>
        <w:tc>
          <w:tcPr>
            <w:tcW w:type="dxa" w:w="604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Lưu danh bạ người thụ hưởng thường xuyên chuyển tiền</w:t>
            </w:r>
          </w:p>
        </w:tc>
      </w:tr>
      <w:tr>
        <w:tc>
          <w:tcPr>
            <w:tcW w:type="dxa" w:w="3456"/>
            <w:shd w:fill="F1F5F9"/>
            <w:vAlign w:val="center"/>
            <w:tcMar>
              <w:top w:w="100" w:type="dxa"/>
              <w:bottom w:w="100" w:type="dxa"/>
              <w:left w:w="140" w:type="dxa"/>
              <w:right w:w="140" w:type="dxa"/>
            </w:tcMar>
          </w:tcPr>
          <w:p>
            <w:pPr>
              <w:spacing w:line="276" w:lineRule="auto" w:before="40" w:after="40"/>
            </w:pPr>
            <w:r>
              <w:rPr>
                <w:rFonts w:ascii="Calibri" w:hAnsi="Calibri"/>
                <w:b/>
                <w:color w:val="1E293B"/>
                <w:sz w:val="21"/>
              </w:rPr>
              <w:t>Để (Lợi ích - Why):</w:t>
              <w:br/>
              <w:t>[Học viên điền]</w:t>
            </w:r>
          </w:p>
        </w:tc>
        <w:tc>
          <w:tcPr>
            <w:tcW w:type="dxa" w:w="6048"/>
            <w:shd w:fill="F1F5F9"/>
            <w:vAlign w:val="center"/>
            <w:tcMar>
              <w:top w:w="100" w:type="dxa"/>
              <w:bottom w:w="100" w:type="dxa"/>
              <w:left w:w="140" w:type="dxa"/>
              <w:right w:w="140" w:type="dxa"/>
            </w:tcMar>
          </w:tcPr>
          <w:p>
            <w:pPr>
              <w:spacing w:line="276" w:lineRule="auto" w:before="40" w:after="40"/>
            </w:pPr>
            <w:r>
              <w:rPr>
                <w:rFonts w:ascii="Calibri" w:hAnsi="Calibri"/>
                <w:color w:val="1E293B"/>
                <w:sz w:val="21"/>
              </w:rPr>
              <w:t>Không phải nhập lại số tài khoản và tên ngân hàng ở những lần chuyển tiếp theo, giúp tiết kiệm thời gian và tránh rủi ro gõ nhầm số tài khoản người nhận.</w:t>
            </w:r>
          </w:p>
        </w:tc>
      </w:tr>
    </w:tbl>
    <w:p>
      <w:pPr>
        <w:spacing w:after="120"/>
      </w:pPr>
    </w:p>
    <w:p>
      <w:pPr>
        <w:keepNext/>
        <w:spacing w:before="200" w:after="80"/>
      </w:pPr>
      <w:r>
        <w:rPr>
          <w:rFonts w:ascii="Calibri" w:hAnsi="Calibri"/>
          <w:b/>
          <w:color w:val="334155"/>
          <w:sz w:val="23"/>
        </w:rPr>
        <w:t>5.2. Câu User Story hoàn chỉnh và Tiêu chí nghiệm thu (Acceptance Criteria)</w:t>
      </w:r>
    </w:p>
    <w:tbl>
      <w:tblPr>
        <w:tblW w:type="auto" w:w="0"/>
        <w:jc w:val="center"/>
        <w:tblLayout w:type="fixed"/>
        <w:tblLook w:firstColumn="1" w:firstRow="1" w:lastColumn="0" w:lastRow="0" w:noHBand="0" w:noVBand="1" w:val="04A0"/>
      </w:tblPr>
      <w:tblGrid>
        <w:gridCol w:w="9936"/>
      </w:tblGrid>
      <w:tr>
        <w:tc>
          <w:tcPr>
            <w:tcW w:type="dxa" w:w="9504"/>
            <w:shd w:fill="F8FAFC"/>
            <w:tcMar>
              <w:top w:w="140" w:type="dxa"/>
              <w:bottom w:w="140" w:type="dxa"/>
              <w:left w:w="200" w:type="dxa"/>
              <w:right w:w="200" w:type="dxa"/>
            </w:tcMar>
            <w:tcBorders>
              <w:top w:val="none"/>
              <w:bottom w:val="none"/>
              <w:left w:val="single" w:sz="18" w:space="0" w:color="334155"/>
              <w:right w:val="none"/>
            </w:tcBorders>
          </w:tcPr>
          <w:p>
            <w:pPr>
              <w:spacing w:before="0" w:after="0" w:line="288" w:lineRule="auto"/>
            </w:pPr>
            <w:r>
              <w:rPr>
                <w:rFonts w:ascii="Calibri" w:hAnsi="Calibri"/>
                <w:b/>
                <w:color w:val="1E293B"/>
                <w:sz w:val="22"/>
              </w:rPr>
              <w:t xml:space="preserve">User Story hoàn chỉnh: </w:t>
            </w:r>
            <w:r>
              <w:rPr>
                <w:rFonts w:ascii="Calibri" w:hAnsi="Calibri"/>
                <w:color w:val="1E293B"/>
                <w:sz w:val="22"/>
              </w:rPr>
              <w:t>"Là một Khách hàng sử dụng ứng dụng RikkeiBank, tôi muốn lưu danh bạ người thụ hưởng thường xuyên chuyển tiền, để không phải nhập lại số tài khoản ở các lần sau, giúp tiết kiệm thời gian và tránh chuyển nhầm tiền."</w:t>
            </w:r>
          </w:p>
        </w:tc>
      </w:tr>
    </w:tbl>
    <w:p>
      <w:pPr>
        <w:spacing w:after="120"/>
      </w:pPr>
    </w:p>
    <w:p>
      <w:pPr>
        <w:spacing w:before="40" w:after="80" w:line="276" w:lineRule="auto"/>
      </w:pPr>
      <w:r>
        <w:rPr>
          <w:rFonts w:ascii="Calibri" w:hAnsi="Calibri"/>
          <w:b/>
          <w:color w:val="1E293B"/>
          <w:sz w:val="22"/>
        </w:rPr>
        <w:t xml:space="preserve">• </w:t>
      </w:r>
      <w:r>
        <w:rPr>
          <w:rFonts w:ascii="Calibri" w:hAnsi="Calibri"/>
          <w:color w:val="1E293B"/>
          <w:sz w:val="22"/>
        </w:rPr>
        <w:t>Tiêu chí nghiệm thu (Acceptance Criteria - AC) làm cơ sở cho Developers và QA/QC kiểm thử:</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1728"/>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Mã AC</w:t>
            </w:r>
          </w:p>
        </w:tc>
        <w:tc>
          <w:tcPr>
            <w:tcW w:type="dxa" w:w="3168"/>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Kịch bản kiểm thử (Scenario)</w:t>
            </w:r>
          </w:p>
        </w:tc>
        <w:tc>
          <w:tcPr>
            <w:tcW w:type="dxa" w:w="4608"/>
            <w:shd w:fill="1E293B"/>
            <w:vAlign w:val="center"/>
            <w:tcMar>
              <w:top w:w="100" w:type="dxa"/>
              <w:bottom w:w="100" w:type="dxa"/>
              <w:left w:w="140" w:type="dxa"/>
              <w:right w:w="140" w:type="dxa"/>
            </w:tcMar>
          </w:tcPr>
          <w:p>
            <w:pPr>
              <w:spacing w:line="276" w:lineRule="auto" w:before="40" w:after="40"/>
            </w:pPr>
            <w:r>
              <w:rPr>
                <w:rFonts w:ascii="Calibri" w:hAnsi="Calibri"/>
                <w:b/>
                <w:color w:val="FFFFFF"/>
                <w:sz w:val="21"/>
              </w:rPr>
              <w:t>Kết quả mong đợi (Expected Outcome)</w:t>
            </w:r>
          </w:p>
        </w:tc>
      </w:tr>
      <w:tr>
        <w:tc>
          <w:tcPr>
            <w:tcW w:type="dxa" w:w="1728"/>
            <w:shd w:fill="FFFFFF"/>
            <w:vAlign w:val="center"/>
            <w:tcMar>
              <w:top w:w="100" w:type="dxa"/>
              <w:bottom w:w="100" w:type="dxa"/>
              <w:left w:w="140" w:type="dxa"/>
              <w:right w:w="140" w:type="dxa"/>
            </w:tcMar>
          </w:tcPr>
          <w:p>
            <w:pPr>
              <w:spacing w:line="276" w:lineRule="auto" w:before="40" w:after="40"/>
            </w:pPr>
            <w:r>
              <w:rPr>
                <w:rFonts w:ascii="Calibri" w:hAnsi="Calibri"/>
                <w:b/>
                <w:color w:val="1E293B"/>
                <w:sz w:val="21"/>
              </w:rPr>
              <w:t>AC-01</w:t>
            </w:r>
          </w:p>
        </w:tc>
        <w:tc>
          <w:tcPr>
            <w:tcW w:type="dxa" w:w="316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Gợi ý lưu sau khi chuyển tiền thành công</w:t>
            </w:r>
          </w:p>
        </w:tc>
        <w:tc>
          <w:tcPr>
            <w:tcW w:type="dxa" w:w="460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Màn hình thông báo kết quả giao dịch hiển thị tùy chọn 'Lưu người thụ hưởng này vào danh bạ' kèm ô nhập tên gợi nhớ/biệt danh.</w:t>
            </w:r>
          </w:p>
        </w:tc>
      </w:tr>
      <w:tr>
        <w:tc>
          <w:tcPr>
            <w:tcW w:type="dxa" w:w="1728"/>
            <w:shd w:fill="F8FAFC"/>
            <w:vAlign w:val="center"/>
            <w:tcMar>
              <w:top w:w="100" w:type="dxa"/>
              <w:bottom w:w="100" w:type="dxa"/>
              <w:left w:w="140" w:type="dxa"/>
              <w:right w:w="140" w:type="dxa"/>
            </w:tcMar>
          </w:tcPr>
          <w:p>
            <w:pPr>
              <w:spacing w:line="276" w:lineRule="auto" w:before="40" w:after="40"/>
            </w:pPr>
            <w:r>
              <w:rPr>
                <w:rFonts w:ascii="Calibri" w:hAnsi="Calibri"/>
                <w:b/>
                <w:color w:val="1E293B"/>
                <w:sz w:val="21"/>
              </w:rPr>
              <w:t>AC-02</w:t>
            </w:r>
          </w:p>
        </w:tc>
        <w:tc>
          <w:tcPr>
            <w:tcW w:type="dxa" w:w="316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Hiển thị danh bạ tại màn hình Chuyển tiền</w:t>
            </w:r>
          </w:p>
        </w:tc>
        <w:tc>
          <w:tcPr>
            <w:tcW w:type="dxa" w:w="460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Khi vào tính năng Chuyển tiền, danh sách người thụ hưởng đã lưu hiển thị ở vị trí dễ thấy kèm logo ngân hàng, tên và số tài khoản.</w:t>
            </w:r>
          </w:p>
        </w:tc>
      </w:tr>
      <w:tr>
        <w:tc>
          <w:tcPr>
            <w:tcW w:type="dxa" w:w="1728"/>
            <w:shd w:fill="FFFFFF"/>
            <w:vAlign w:val="center"/>
            <w:tcMar>
              <w:top w:w="100" w:type="dxa"/>
              <w:bottom w:w="100" w:type="dxa"/>
              <w:left w:w="140" w:type="dxa"/>
              <w:right w:w="140" w:type="dxa"/>
            </w:tcMar>
          </w:tcPr>
          <w:p>
            <w:pPr>
              <w:spacing w:line="276" w:lineRule="auto" w:before="40" w:after="40"/>
            </w:pPr>
            <w:r>
              <w:rPr>
                <w:rFonts w:ascii="Calibri" w:hAnsi="Calibri"/>
                <w:b/>
                <w:color w:val="1E293B"/>
                <w:sz w:val="21"/>
              </w:rPr>
              <w:t>AC-03</w:t>
            </w:r>
          </w:p>
        </w:tc>
        <w:tc>
          <w:tcPr>
            <w:tcW w:type="dxa" w:w="316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Tìm kiếm và tự động điền</w:t>
            </w:r>
          </w:p>
        </w:tc>
        <w:tc>
          <w:tcPr>
            <w:tcW w:type="dxa" w:w="4608"/>
            <w:shd w:fill="FFFFFF"/>
            <w:vAlign w:val="center"/>
            <w:tcMar>
              <w:top w:w="100" w:type="dxa"/>
              <w:bottom w:w="100" w:type="dxa"/>
              <w:left w:w="140" w:type="dxa"/>
              <w:right w:w="140" w:type="dxa"/>
            </w:tcMar>
          </w:tcPr>
          <w:p>
            <w:pPr>
              <w:spacing w:line="276" w:lineRule="auto" w:before="40" w:after="40"/>
            </w:pPr>
            <w:r>
              <w:rPr>
                <w:rFonts w:ascii="Calibri" w:hAnsi="Calibri"/>
                <w:color w:val="1E293B"/>
                <w:sz w:val="21"/>
              </w:rPr>
              <w:t>Khách hàng có thể gõ từ khóa tìm kiếm trong danh bạ; khi nhấp chọn người nhận, hệ thống tự động điền đúng tên ngân hàng, số tài khoản và họ tên chủ tài khoản.</w:t>
            </w:r>
          </w:p>
        </w:tc>
      </w:tr>
      <w:tr>
        <w:tc>
          <w:tcPr>
            <w:tcW w:type="dxa" w:w="1728"/>
            <w:shd w:fill="F8FAFC"/>
            <w:vAlign w:val="center"/>
            <w:tcMar>
              <w:top w:w="100" w:type="dxa"/>
              <w:bottom w:w="100" w:type="dxa"/>
              <w:left w:w="140" w:type="dxa"/>
              <w:right w:w="140" w:type="dxa"/>
            </w:tcMar>
          </w:tcPr>
          <w:p>
            <w:pPr>
              <w:spacing w:line="276" w:lineRule="auto" w:before="40" w:after="40"/>
            </w:pPr>
            <w:r>
              <w:rPr>
                <w:rFonts w:ascii="Calibri" w:hAnsi="Calibri"/>
                <w:b/>
                <w:color w:val="1E293B"/>
                <w:sz w:val="21"/>
              </w:rPr>
              <w:t>AC-04</w:t>
            </w:r>
          </w:p>
        </w:tc>
        <w:tc>
          <w:tcPr>
            <w:tcW w:type="dxa" w:w="316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Chỉnh sửa và xóa danh bạ</w:t>
            </w:r>
          </w:p>
        </w:tc>
        <w:tc>
          <w:tcPr>
            <w:tcW w:type="dxa" w:w="4608"/>
            <w:shd w:fill="F8FAFC"/>
            <w:vAlign w:val="center"/>
            <w:tcMar>
              <w:top w:w="100" w:type="dxa"/>
              <w:bottom w:w="100" w:type="dxa"/>
              <w:left w:w="140" w:type="dxa"/>
              <w:right w:w="140" w:type="dxa"/>
            </w:tcMar>
          </w:tcPr>
          <w:p>
            <w:pPr>
              <w:spacing w:line="276" w:lineRule="auto" w:before="40" w:after="40"/>
            </w:pPr>
            <w:r>
              <w:rPr>
                <w:rFonts w:ascii="Calibri" w:hAnsi="Calibri"/>
                <w:color w:val="1E293B"/>
                <w:sz w:val="21"/>
              </w:rPr>
              <w:t>Khách hàng có thể đổi biệt danh hoặc xóa người thụ hưởng khỏi danh bạ; hệ thống yêu cầu xác nhận trước khi xóa.</w:t>
            </w:r>
          </w:p>
        </w:tc>
      </w:tr>
    </w:tbl>
    <w:p>
      <w:pPr>
        <w:spacing w:after="240"/>
      </w:pPr>
    </w:p>
    <w:p>
      <w:pPr>
        <w:keepNext/>
        <w:spacing w:before="200" w:after="80"/>
      </w:pPr>
      <w:r>
        <w:rPr>
          <w:rFonts w:ascii="Calibri" w:hAnsi="Calibri"/>
          <w:b/>
          <w:color w:val="334155"/>
          <w:sz w:val="23"/>
        </w:rPr>
        <w:t>TỔNG KẾT VÀ BÀN GIAO NGHIỆP VỤ</w:t>
      </w:r>
    </w:p>
    <w:p>
      <w:pPr>
        <w:spacing w:before="40" w:after="80" w:line="276" w:lineRule="auto"/>
      </w:pPr>
      <w:r>
        <w:rPr>
          <w:rFonts w:ascii="Calibri" w:hAnsi="Calibri"/>
          <w:color w:val="1E293B"/>
          <w:sz w:val="22"/>
        </w:rPr>
        <w:t>Báo cáo đã hoàn thành toàn diện 5 bước khảo sát và phân tích hiện trạng hệ thống ngân hàng số RikkeiBank. Bản đặc tả này đóng vai trò cầu nối nghiệp vụ chuẩn xác, giúp đội ngũ kỹ sư phần mềm nắm bắt đúng logic bảo mật tài chính và phát triển ứng dụng di động đáp ứng các tiêu chuẩn khắt khe của ngành ngân hàng.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