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THỰC HÀNH TỔNG HỢP</w:t>
      </w:r>
    </w:p>
    <w:p>
      <w:pPr>
        <w:pStyle w:val="Heading2"/>
        <w:spacing w:after="400"/>
        <w:jc w:val="center"/>
      </w:pPr>
      <w:r>
        <w:rPr>
          <w:b/>
          <w:bCs/>
        </w:rPr>
        <w:t xml:space="preserve">Activity Diagram &amp; Use Case Diagram — Hệ thống xử lý đơn hàng RikkeiLogistics</w:t>
      </w:r>
    </w:p>
    <w:p>
      <w:pPr>
        <w:pStyle w:val="Heading1"/>
        <w:spacing w:after="150" w:before="300"/>
      </w:pPr>
      <w:r>
        <w:t xml:space="preserve">1. Bối cảnh &amp; Vai trò</w:t>
      </w:r>
    </w:p>
    <w:p>
      <w:pPr>
        <w:spacing w:after="150"/>
      </w:pPr>
      <w:r>
        <w:t xml:space="preserve">Vai trò: Business Analyst.</w:t>
      </w:r>
    </w:p>
    <w:p>
      <w:pPr>
        <w:spacing w:after="150"/>
      </w:pPr>
      <w:r>
        <w:t xml:space="preserve">Hệ thống: RikkeiLogistics số hóa quy trình vận đơn, liên quan Khách hàng và Bộ phận Kho (Warehouse).</w:t>
      </w:r>
    </w:p>
    <w:p>
      <w:pPr>
        <w:pStyle w:val="Heading1"/>
        <w:spacing w:after="150" w:before="300"/>
      </w:pPr>
      <w:r>
        <w:t xml:space="preserve">PHẦN A — ACTIVITY DIAGRAM</w:t>
      </w:r>
    </w:p>
    <w:p>
      <w:pPr>
        <w:spacing w:after="150"/>
      </w:pPr>
      <w:r>
        <w:rPr>
          <w:i/>
          <w:iCs/>
        </w:rPr>
        <w:t xml:space="preserve">Kịch bản: Khách hàng đặt đơn hàng. Hệ thống kiểm tra tồn kho tại Kho: nếu Còn hàng thì Kho vừa đóng gói vừa gửi thông báo xuất kho cho Khách hàng cùng lúc (song song) rồi kết thúc; nếu Hết hàng thì Kho báo hoàn tiền và kết thúc.</w:t>
      </w:r>
    </w:p>
    <w:p>
      <w:pPr>
        <w:pStyle w:val="Heading2"/>
        <w:spacing w:after="150" w:before="300"/>
      </w:pPr>
      <w:r>
        <w:t xml:space="preserve">Bảng phân rã Node — Swimlane (đã hoàn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shd w:fill="D9E2F3" w:val="clear"/>
            <w:tcMar>
              <w:top w:type="dxa" w:w="80"/>
              <w:left w:type="dxa" w:w="100"/>
              <w:bottom w:type="dxa" w:w="80"/>
              <w:right w:type="dxa" w:w="100"/>
            </w:tcMar>
            <w:vAlign w:val="center"/>
          </w:tcPr>
          <w:p>
            <w:r>
              <w:rPr>
                <w:b/>
                <w:bCs/>
              </w:rPr>
              <w:t xml:space="preserve">Loại Node</w:t>
            </w:r>
          </w:p>
        </w:tc>
        <w:tc>
          <w:tcPr>
            <w:tcW w:type="dxa" w:w="5000"/>
            <w:shd w:fill="D9E2F3" w:val="clear"/>
            <w:tcMar>
              <w:top w:type="dxa" w:w="80"/>
              <w:left w:type="dxa" w:w="100"/>
              <w:bottom w:type="dxa" w:w="80"/>
              <w:right w:type="dxa" w:w="100"/>
            </w:tcMar>
            <w:vAlign w:val="center"/>
          </w:tcPr>
          <w:p>
            <w:r>
              <w:rPr>
                <w:b/>
                <w:bCs/>
              </w:rPr>
              <w:t xml:space="preserve">Tên Node / Tác vụ</w:t>
            </w:r>
          </w:p>
        </w:tc>
        <w:tc>
          <w:tcPr>
            <w:tcW w:type="dxa" w:w="2360"/>
            <w:shd w:fill="D9E2F3" w:val="clear"/>
            <w:tcMar>
              <w:top w:type="dxa" w:w="80"/>
              <w:left w:type="dxa" w:w="100"/>
              <w:bottom w:type="dxa" w:w="80"/>
              <w:right w:type="dxa" w:w="100"/>
            </w:tcMar>
            <w:vAlign w:val="center"/>
          </w:tcPr>
          <w:p>
            <w:r>
              <w:rPr>
                <w:b/>
                <w:bCs/>
              </w:rPr>
              <w:t xml:space="preserve">Swimlane phụ trách</w:t>
            </w:r>
          </w:p>
        </w:tc>
      </w:tr>
      <w:tr>
        <w:tc>
          <w:tcPr>
            <w:tcW w:type="dxa" w:w="2000"/>
            <w:tcMar>
              <w:top w:type="dxa" w:w="80"/>
              <w:left w:type="dxa" w:w="100"/>
              <w:bottom w:type="dxa" w:w="80"/>
              <w:right w:type="dxa" w:w="100"/>
            </w:tcMar>
            <w:vAlign w:val="center"/>
          </w:tcPr>
          <w:p>
            <w:r>
              <w:rPr>
                <w:b w:val="false"/>
                <w:bCs w:val="false"/>
              </w:rPr>
              <w:t xml:space="preserve">Initial Node</w:t>
            </w:r>
          </w:p>
        </w:tc>
        <w:tc>
          <w:tcPr>
            <w:tcW w:type="dxa" w:w="5000"/>
            <w:tcMar>
              <w:top w:type="dxa" w:w="80"/>
              <w:left w:type="dxa" w:w="100"/>
              <w:bottom w:type="dxa" w:w="80"/>
              <w:right w:type="dxa" w:w="100"/>
            </w:tcMar>
            <w:vAlign w:val="center"/>
          </w:tcPr>
          <w:p>
            <w:r>
              <w:rPr>
                <w:b w:val="false"/>
                <w:bCs w:val="false"/>
              </w:rPr>
              <w:t xml:space="preserve">Bắt đầu</w:t>
            </w:r>
          </w:p>
        </w:tc>
        <w:tc>
          <w:tcPr>
            <w:tcW w:type="dxa" w:w="2360"/>
            <w:tcMar>
              <w:top w:type="dxa" w:w="80"/>
              <w:left w:type="dxa" w:w="100"/>
              <w:bottom w:type="dxa" w:w="80"/>
              <w:right w:type="dxa" w:w="100"/>
            </w:tcMar>
            <w:vAlign w:val="center"/>
          </w:tcPr>
          <w:p>
            <w:r>
              <w:rPr>
                <w:b w:val="false"/>
                <w:bCs w:val="false"/>
              </w:rPr>
              <w:t xml:space="preserve">—</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Đặt đơn hàng</w:t>
            </w:r>
          </w:p>
        </w:tc>
        <w:tc>
          <w:tcPr>
            <w:tcW w:type="dxa" w:w="2360"/>
            <w:tcMar>
              <w:top w:type="dxa" w:w="80"/>
              <w:left w:type="dxa" w:w="100"/>
              <w:bottom w:type="dxa" w:w="80"/>
              <w:right w:type="dxa" w:w="100"/>
            </w:tcMar>
            <w:vAlign w:val="center"/>
          </w:tcPr>
          <w:p>
            <w:r>
              <w:rPr>
                <w:b w:val="false"/>
                <w:bCs w:val="false"/>
              </w:rPr>
              <w:t xml:space="preserve">Khách hàng</w:t>
            </w:r>
          </w:p>
        </w:tc>
      </w:tr>
      <w:tr>
        <w:tc>
          <w:tcPr>
            <w:tcW w:type="dxa" w:w="2000"/>
            <w:tcMar>
              <w:top w:type="dxa" w:w="80"/>
              <w:left w:type="dxa" w:w="100"/>
              <w:bottom w:type="dxa" w:w="80"/>
              <w:right w:type="dxa" w:w="100"/>
            </w:tcMar>
            <w:vAlign w:val="center"/>
          </w:tcPr>
          <w:p>
            <w:r>
              <w:rPr>
                <w:b w:val="false"/>
                <w:bCs w:val="false"/>
              </w:rPr>
              <w:t xml:space="preserve">Decision</w:t>
            </w:r>
          </w:p>
        </w:tc>
        <w:tc>
          <w:tcPr>
            <w:tcW w:type="dxa" w:w="5000"/>
            <w:tcMar>
              <w:top w:type="dxa" w:w="80"/>
              <w:left w:type="dxa" w:w="100"/>
              <w:bottom w:type="dxa" w:w="80"/>
              <w:right w:type="dxa" w:w="100"/>
            </w:tcMar>
            <w:vAlign w:val="center"/>
          </w:tcPr>
          <w:p>
            <w:r>
              <w:rPr>
                <w:b w:val="false"/>
                <w:bCs w:val="false"/>
              </w:rPr>
              <w:t xml:space="preserve">Kiểm tra tồn kho (Còn hàng / Hết hàng)</w:t>
            </w:r>
          </w:p>
        </w:tc>
        <w:tc>
          <w:tcPr>
            <w:tcW w:type="dxa" w:w="2360"/>
            <w:tcMar>
              <w:top w:type="dxa" w:w="80"/>
              <w:left w:type="dxa" w:w="100"/>
              <w:bottom w:type="dxa" w:w="80"/>
              <w:right w:type="dxa" w:w="100"/>
            </w:tcMar>
            <w:vAlign w:val="center"/>
          </w:tcPr>
          <w:p>
            <w:r>
              <w:rPr>
                <w:b w:val="false"/>
                <w:bCs w:val="false"/>
              </w:rPr>
              <w:t xml:space="preserve">Bộ phận Kho</w:t>
            </w:r>
          </w:p>
        </w:tc>
      </w:tr>
      <w:tr>
        <w:tc>
          <w:tcPr>
            <w:tcW w:type="dxa" w:w="2000"/>
            <w:tcMar>
              <w:top w:type="dxa" w:w="80"/>
              <w:left w:type="dxa" w:w="100"/>
              <w:bottom w:type="dxa" w:w="80"/>
              <w:right w:type="dxa" w:w="100"/>
            </w:tcMar>
            <w:vAlign w:val="center"/>
          </w:tcPr>
          <w:p>
            <w:r>
              <w:rPr>
                <w:b w:val="false"/>
                <w:bCs w:val="false"/>
              </w:rPr>
              <w:t xml:space="preserve">Fork</w:t>
            </w:r>
          </w:p>
        </w:tc>
        <w:tc>
          <w:tcPr>
            <w:tcW w:type="dxa" w:w="5000"/>
            <w:tcMar>
              <w:top w:type="dxa" w:w="80"/>
              <w:left w:type="dxa" w:w="100"/>
              <w:bottom w:type="dxa" w:w="80"/>
              <w:right w:type="dxa" w:w="100"/>
            </w:tcMar>
            <w:vAlign w:val="center"/>
          </w:tcPr>
          <w:p>
            <w:r>
              <w:rPr>
                <w:b w:val="false"/>
                <w:bCs w:val="false"/>
              </w:rPr>
              <w:t xml:space="preserve">Tách 2 nhánh song song (Đóng gói // Gửi thông báo xuất kho) khi Còn hàng</w:t>
            </w:r>
          </w:p>
        </w:tc>
        <w:tc>
          <w:tcPr>
            <w:tcW w:type="dxa" w:w="2360"/>
            <w:tcMar>
              <w:top w:type="dxa" w:w="80"/>
              <w:left w:type="dxa" w:w="100"/>
              <w:bottom w:type="dxa" w:w="80"/>
              <w:right w:type="dxa" w:w="100"/>
            </w:tcMar>
            <w:vAlign w:val="center"/>
          </w:tcPr>
          <w:p>
            <w:r>
              <w:rPr>
                <w:b w:val="false"/>
                <w:bCs w:val="false"/>
              </w:rPr>
              <w:t xml:space="preserve">Bộ phận Kho</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Đóng gói đơn hàng</w:t>
            </w:r>
          </w:p>
        </w:tc>
        <w:tc>
          <w:tcPr>
            <w:tcW w:type="dxa" w:w="2360"/>
            <w:tcMar>
              <w:top w:type="dxa" w:w="80"/>
              <w:left w:type="dxa" w:w="100"/>
              <w:bottom w:type="dxa" w:w="80"/>
              <w:right w:type="dxa" w:w="100"/>
            </w:tcMar>
            <w:vAlign w:val="center"/>
          </w:tcPr>
          <w:p>
            <w:r>
              <w:rPr>
                <w:b w:val="false"/>
                <w:bCs w:val="false"/>
              </w:rPr>
              <w:t xml:space="preserve">Bộ phận Kho</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Gửi thông báo xuất kho (cho Khách hàng)</w:t>
            </w:r>
          </w:p>
        </w:tc>
        <w:tc>
          <w:tcPr>
            <w:tcW w:type="dxa" w:w="2360"/>
            <w:tcMar>
              <w:top w:type="dxa" w:w="80"/>
              <w:left w:type="dxa" w:w="100"/>
              <w:bottom w:type="dxa" w:w="80"/>
              <w:right w:type="dxa" w:w="100"/>
            </w:tcMar>
            <w:vAlign w:val="center"/>
          </w:tcPr>
          <w:p>
            <w:r>
              <w:rPr>
                <w:b w:val="false"/>
                <w:bCs w:val="false"/>
              </w:rPr>
              <w:t xml:space="preserve">Bộ phận Kho</w:t>
            </w:r>
          </w:p>
        </w:tc>
      </w:tr>
      <w:tr>
        <w:tc>
          <w:tcPr>
            <w:tcW w:type="dxa" w:w="2000"/>
            <w:tcMar>
              <w:top w:type="dxa" w:w="80"/>
              <w:left w:type="dxa" w:w="100"/>
              <w:bottom w:type="dxa" w:w="80"/>
              <w:right w:type="dxa" w:w="100"/>
            </w:tcMar>
            <w:vAlign w:val="center"/>
          </w:tcPr>
          <w:p>
            <w:r>
              <w:rPr>
                <w:b w:val="false"/>
                <w:bCs w:val="false"/>
              </w:rPr>
              <w:t xml:space="preserve">Join</w:t>
            </w:r>
          </w:p>
        </w:tc>
        <w:tc>
          <w:tcPr>
            <w:tcW w:type="dxa" w:w="5000"/>
            <w:tcMar>
              <w:top w:type="dxa" w:w="80"/>
              <w:left w:type="dxa" w:w="100"/>
              <w:bottom w:type="dxa" w:w="80"/>
              <w:right w:type="dxa" w:w="100"/>
            </w:tcMar>
            <w:vAlign w:val="center"/>
          </w:tcPr>
          <w:p>
            <w:r>
              <w:rPr>
                <w:b w:val="false"/>
                <w:bCs w:val="false"/>
              </w:rPr>
              <w:t xml:space="preserve">Gộp 2 nhánh song song (sau khi Đóng gói và Gửi thông báo đều hoàn tất)</w:t>
            </w:r>
          </w:p>
        </w:tc>
        <w:tc>
          <w:tcPr>
            <w:tcW w:type="dxa" w:w="2360"/>
            <w:tcMar>
              <w:top w:type="dxa" w:w="80"/>
              <w:left w:type="dxa" w:w="100"/>
              <w:bottom w:type="dxa" w:w="80"/>
              <w:right w:type="dxa" w:w="100"/>
            </w:tcMar>
            <w:vAlign w:val="center"/>
          </w:tcPr>
          <w:p>
            <w:r>
              <w:rPr>
                <w:b w:val="false"/>
                <w:bCs w:val="false"/>
              </w:rPr>
              <w:t xml:space="preserve">Bộ phận Kho</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Báo hoàn tiền (hết hàng)</w:t>
            </w:r>
          </w:p>
        </w:tc>
        <w:tc>
          <w:tcPr>
            <w:tcW w:type="dxa" w:w="2360"/>
            <w:tcMar>
              <w:top w:type="dxa" w:w="80"/>
              <w:left w:type="dxa" w:w="100"/>
              <w:bottom w:type="dxa" w:w="80"/>
              <w:right w:type="dxa" w:w="100"/>
            </w:tcMar>
            <w:vAlign w:val="center"/>
          </w:tcPr>
          <w:p>
            <w:r>
              <w:rPr>
                <w:b w:val="false"/>
                <w:bCs w:val="false"/>
              </w:rPr>
              <w:t xml:space="preserve">Bộ phận Kho</w:t>
            </w:r>
          </w:p>
        </w:tc>
      </w:tr>
      <w:tr>
        <w:tc>
          <w:tcPr>
            <w:tcW w:type="dxa" w:w="2000"/>
            <w:tcMar>
              <w:top w:type="dxa" w:w="80"/>
              <w:left w:type="dxa" w:w="100"/>
              <w:bottom w:type="dxa" w:w="80"/>
              <w:right w:type="dxa" w:w="100"/>
            </w:tcMar>
            <w:vAlign w:val="center"/>
          </w:tcPr>
          <w:p>
            <w:r>
              <w:rPr>
                <w:b w:val="false"/>
                <w:bCs w:val="false"/>
              </w:rPr>
              <w:t xml:space="preserve">Final Node</w:t>
            </w:r>
          </w:p>
        </w:tc>
        <w:tc>
          <w:tcPr>
            <w:tcW w:type="dxa" w:w="5000"/>
            <w:tcMar>
              <w:top w:type="dxa" w:w="80"/>
              <w:left w:type="dxa" w:w="100"/>
              <w:bottom w:type="dxa" w:w="80"/>
              <w:right w:type="dxa" w:w="100"/>
            </w:tcMar>
            <w:vAlign w:val="center"/>
          </w:tcPr>
          <w:p>
            <w:r>
              <w:rPr>
                <w:b w:val="false"/>
                <w:bCs w:val="false"/>
              </w:rPr>
              <w:t xml:space="preserve">Kết thúc</w:t>
            </w:r>
          </w:p>
        </w:tc>
        <w:tc>
          <w:tcPr>
            <w:tcW w:type="dxa" w:w="2360"/>
            <w:tcMar>
              <w:top w:type="dxa" w:w="80"/>
              <w:left w:type="dxa" w:w="100"/>
              <w:bottom w:type="dxa" w:w="80"/>
              <w:right w:type="dxa" w:w="100"/>
            </w:tcMar>
            <w:vAlign w:val="center"/>
          </w:tcPr>
          <w:p>
            <w:r>
              <w:rPr>
                <w:b w:val="false"/>
                <w:bCs w:val="false"/>
              </w:rPr>
              <w:t xml:space="preserve">—</w:t>
            </w:r>
          </w:p>
        </w:tc>
      </w:tr>
    </w:tbl>
    <w:p>
      <w:pPr>
        <w:spacing w:after="200"/>
      </w:pPr>
    </w:p>
    <w:p>
      <w:pPr>
        <w:spacing w:after="150"/>
      </w:pPr>
      <w:r>
        <w:t xml:space="preserve">Giải thích luồng song song (Fork/Join): Khi Còn hàng, luồng xử lý được TÁCH (Fork) thành 2 nhánh chạy song song: (1) Đóng gói đơn hàng và (2) Gửi thông báo xuất kho cho Khách hàng. Hai nhánh này độc lập, không phụ thuộc thứ tự thực hiện của nhau. Sau khi CẢ HAI nhánh đều hoàn tất, luồng được GỘP lại (Join) tại một điểm duy nhất trước khi đi tới Final Node.</w:t>
      </w:r>
    </w:p>
    <w:p>
      <w:pPr>
        <w:spacing w:after="150"/>
      </w:pPr>
      <w:r>
        <w:t xml:space="preserve">Diagram được vẽ với 2 Swimlane: "Khách hàng" (chứa hành động Đặt đơn hàng) và "Bộ phận Kho" (chứa Decision, Fork, 2 Action song song, Join, Action báo hoàn tiền). File nguồn draw.io: activity_diagram_rikkeilogistics.drawio (đính kèm).</w:t>
      </w:r>
    </w:p>
    <w:p>
      <w:pPr>
        <w:pStyle w:val="Heading1"/>
        <w:spacing w:after="150" w:before="300"/>
      </w:pPr>
      <w:r>
        <w:t xml:space="preserve">PHẦN B — USE CASE DIAGRAM</w:t>
      </w:r>
    </w:p>
    <w:p>
      <w:pPr>
        <w:spacing w:after="150"/>
      </w:pPr>
      <w:r>
        <w:rPr>
          <w:i/>
          <w:iCs/>
        </w:rPr>
        <w:t xml:space="preserve">Kịch bản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pPr>
        <w:pStyle w:val="Heading2"/>
        <w:spacing w:after="150" w:before="300"/>
      </w:pPr>
      <w:r>
        <w:t xml:space="preserve">Bảng quan hệ Use Case (đã hoàn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rPr>
          <w:tblHeader/>
        </w:trPr>
        <w:tc>
          <w:tcPr>
            <w:tcW w:type="dxa" w:w="2000"/>
            <w:shd w:fill="D9E2F3" w:val="clear"/>
            <w:tcMar>
              <w:top w:type="dxa" w:w="80"/>
              <w:left w:type="dxa" w:w="100"/>
              <w:bottom w:type="dxa" w:w="80"/>
              <w:right w:type="dxa" w:w="100"/>
            </w:tcMar>
            <w:vAlign w:val="center"/>
          </w:tcPr>
          <w:p>
            <w:r>
              <w:rPr>
                <w:b/>
                <w:bCs/>
              </w:rPr>
              <w:t xml:space="preserve">Use Case A</w:t>
            </w:r>
          </w:p>
        </w:tc>
        <w:tc>
          <w:tcPr>
            <w:tcW w:type="dxa" w:w="2600"/>
            <w:shd w:fill="D9E2F3" w:val="clear"/>
            <w:tcMar>
              <w:top w:type="dxa" w:w="80"/>
              <w:left w:type="dxa" w:w="100"/>
              <w:bottom w:type="dxa" w:w="80"/>
              <w:right w:type="dxa" w:w="100"/>
            </w:tcMar>
            <w:vAlign w:val="center"/>
          </w:tcPr>
          <w:p>
            <w:r>
              <w:rPr>
                <w:b/>
                <w:bCs/>
              </w:rPr>
              <w:t xml:space="preserve">Use Case B</w:t>
            </w:r>
          </w:p>
        </w:tc>
        <w:tc>
          <w:tcPr>
            <w:tcW w:type="dxa" w:w="1400"/>
            <w:shd w:fill="D9E2F3" w:val="clear"/>
            <w:tcMar>
              <w:top w:type="dxa" w:w="80"/>
              <w:left w:type="dxa" w:w="100"/>
              <w:bottom w:type="dxa" w:w="80"/>
              <w:right w:type="dxa" w:w="100"/>
            </w:tcMar>
            <w:vAlign w:val="center"/>
          </w:tcPr>
          <w:p>
            <w:r>
              <w:rPr>
                <w:b/>
                <w:bCs/>
              </w:rPr>
              <w:t xml:space="preserve">Quan hệ</w:t>
            </w:r>
          </w:p>
        </w:tc>
        <w:tc>
          <w:tcPr>
            <w:tcW w:type="dxa" w:w="3360"/>
            <w:shd w:fill="D9E2F3" w:val="clear"/>
            <w:tcMar>
              <w:top w:type="dxa" w:w="80"/>
              <w:left w:type="dxa" w:w="100"/>
              <w:bottom w:type="dxa" w:w="80"/>
              <w:right w:type="dxa" w:w="100"/>
            </w:tcMar>
            <w:vAlign w:val="center"/>
          </w:tcPr>
          <w:p>
            <w:r>
              <w:rPr>
                <w:b/>
                <w:bCs/>
              </w:rPr>
              <w:t xml:space="preserve">Giải thích logic</w:t>
            </w:r>
          </w:p>
        </w:tc>
      </w:tr>
      <w:tr>
        <w:tc>
          <w:tcPr>
            <w:tcW w:type="dxa" w:w="2000"/>
            <w:tcMar>
              <w:top w:type="dxa" w:w="80"/>
              <w:left w:type="dxa" w:w="100"/>
              <w:bottom w:type="dxa" w:w="80"/>
              <w:right w:type="dxa" w:w="100"/>
            </w:tcMar>
            <w:vAlign w:val="center"/>
          </w:tcPr>
          <w:p>
            <w:r>
              <w:rPr>
                <w:b w:val="false"/>
                <w:bCs w:val="false"/>
              </w:rPr>
              <w:t xml:space="preserve">Đặt đơn hàng</w:t>
            </w:r>
          </w:p>
        </w:tc>
        <w:tc>
          <w:tcPr>
            <w:tcW w:type="dxa" w:w="2600"/>
            <w:tcMar>
              <w:top w:type="dxa" w:w="80"/>
              <w:left w:type="dxa" w:w="100"/>
              <w:bottom w:type="dxa" w:w="80"/>
              <w:right w:type="dxa" w:w="100"/>
            </w:tcMar>
            <w:vAlign w:val="center"/>
          </w:tcPr>
          <w:p>
            <w:r>
              <w:rPr>
                <w:b w:val="false"/>
                <w:bCs w:val="false"/>
              </w:rPr>
              <w:t xml:space="preserve">Đăng nhập</w:t>
            </w:r>
          </w:p>
        </w:tc>
        <w:tc>
          <w:tcPr>
            <w:tcW w:type="dxa" w:w="1400"/>
            <w:tcMar>
              <w:top w:type="dxa" w:w="80"/>
              <w:left w:type="dxa" w:w="100"/>
              <w:bottom w:type="dxa" w:w="80"/>
              <w:right w:type="dxa" w:w="100"/>
            </w:tcMar>
            <w:vAlign w:val="center"/>
          </w:tcPr>
          <w:p>
            <w:r>
              <w:rPr>
                <w:b w:val="false"/>
                <w:bCs w:val="false"/>
              </w:rPr>
              <w:t xml:space="preserve">include</w:t>
            </w:r>
          </w:p>
        </w:tc>
        <w:tc>
          <w:tcPr>
            <w:tcW w:type="dxa" w:w="3360"/>
            <w:tcMar>
              <w:top w:type="dxa" w:w="80"/>
              <w:left w:type="dxa" w:w="100"/>
              <w:bottom w:type="dxa" w:w="80"/>
              <w:right w:type="dxa" w:w="100"/>
            </w:tcMar>
            <w:vAlign w:val="center"/>
          </w:tcPr>
          <w:p>
            <w:r>
              <w:rPr>
                <w:b w:val="false"/>
                <w:bCs w:val="false"/>
              </w:rPr>
              <w:t xml:space="preserve">Khách hàng bắt buộc phải Đăng nhập trước khi được phép thực hiện Đặt đơn hàng; use case Đăng nhập luôn được gọi mỗi khi thực hiện Đặt đơn hàng.</w:t>
            </w:r>
          </w:p>
        </w:tc>
      </w:tr>
      <w:tr>
        <w:tc>
          <w:tcPr>
            <w:tcW w:type="dxa" w:w="2000"/>
            <w:tcMar>
              <w:top w:type="dxa" w:w="80"/>
              <w:left w:type="dxa" w:w="100"/>
              <w:bottom w:type="dxa" w:w="80"/>
              <w:right w:type="dxa" w:w="100"/>
            </w:tcMar>
            <w:vAlign w:val="center"/>
          </w:tcPr>
          <w:p>
            <w:r>
              <w:rPr>
                <w:b w:val="false"/>
                <w:bCs w:val="false"/>
              </w:rPr>
              <w:t xml:space="preserve">Đặt đơn hàng</w:t>
            </w:r>
          </w:p>
        </w:tc>
        <w:tc>
          <w:tcPr>
            <w:tcW w:type="dxa" w:w="2600"/>
            <w:tcMar>
              <w:top w:type="dxa" w:w="80"/>
              <w:left w:type="dxa" w:w="100"/>
              <w:bottom w:type="dxa" w:w="80"/>
              <w:right w:type="dxa" w:w="100"/>
            </w:tcMar>
            <w:vAlign w:val="center"/>
          </w:tcPr>
          <w:p>
            <w:r>
              <w:rPr>
                <w:b w:val="false"/>
                <w:bCs w:val="false"/>
              </w:rPr>
              <w:t xml:space="preserve">Giao hàng hoả tốc</w:t>
            </w:r>
          </w:p>
        </w:tc>
        <w:tc>
          <w:tcPr>
            <w:tcW w:type="dxa" w:w="1400"/>
            <w:tcMar>
              <w:top w:type="dxa" w:w="80"/>
              <w:left w:type="dxa" w:w="100"/>
              <w:bottom w:type="dxa" w:w="80"/>
              <w:right w:type="dxa" w:w="100"/>
            </w:tcMar>
            <w:vAlign w:val="center"/>
          </w:tcPr>
          <w:p>
            <w:r>
              <w:rPr>
                <w:b w:val="false"/>
                <w:bCs w:val="false"/>
              </w:rPr>
              <w:t xml:space="preserve">extend</w:t>
            </w:r>
          </w:p>
        </w:tc>
        <w:tc>
          <w:tcPr>
            <w:tcW w:type="dxa" w:w="3360"/>
            <w:tcMar>
              <w:top w:type="dxa" w:w="80"/>
              <w:left w:type="dxa" w:w="100"/>
              <w:bottom w:type="dxa" w:w="80"/>
              <w:right w:type="dxa" w:w="100"/>
            </w:tcMar>
            <w:vAlign w:val="center"/>
          </w:tcPr>
          <w:p>
            <w:r>
              <w:rPr>
                <w:b w:val="false"/>
                <w:bCs w:val="false"/>
              </w:rPr>
              <w:t xml:space="preserve">Khi đặt đơn, khách hàng có thể tuỳ chọn yêu cầu Giao hàng hoả tốc; đây là chức năng không bắt buộc, chỉ xảy ra khi khách hàng chủ động chọn giao hoả tốc (có thể kèm điều kiện phụ thu phí).</w:t>
            </w:r>
          </w:p>
        </w:tc>
      </w:tr>
      <w:tr>
        <w:tc>
          <w:tcPr>
            <w:tcW w:type="dxa" w:w="2000"/>
            <w:tcMar>
              <w:top w:type="dxa" w:w="80"/>
              <w:left w:type="dxa" w:w="100"/>
              <w:bottom w:type="dxa" w:w="80"/>
              <w:right w:type="dxa" w:w="100"/>
            </w:tcMar>
            <w:vAlign w:val="center"/>
          </w:tcPr>
          <w:p>
            <w:r>
              <w:rPr>
                <w:b w:val="false"/>
                <w:bCs w:val="false"/>
              </w:rPr>
              <w:t xml:space="preserve">Đặt đơn hàng</w:t>
            </w:r>
          </w:p>
        </w:tc>
        <w:tc>
          <w:tcPr>
            <w:tcW w:type="dxa" w:w="2600"/>
            <w:tcMar>
              <w:top w:type="dxa" w:w="80"/>
              <w:left w:type="dxa" w:w="100"/>
              <w:bottom w:type="dxa" w:w="80"/>
              <w:right w:type="dxa" w:w="100"/>
            </w:tcMar>
            <w:vAlign w:val="center"/>
          </w:tcPr>
          <w:p>
            <w:r>
              <w:rPr>
                <w:b w:val="false"/>
                <w:bCs w:val="false"/>
              </w:rPr>
              <w:t xml:space="preserve">Đặt đơn hàng lẻ</w:t>
            </w:r>
          </w:p>
        </w:tc>
        <w:tc>
          <w:tcPr>
            <w:tcW w:type="dxa" w:w="1400"/>
            <w:tcMar>
              <w:top w:type="dxa" w:w="80"/>
              <w:left w:type="dxa" w:w="100"/>
              <w:bottom w:type="dxa" w:w="80"/>
              <w:right w:type="dxa" w:w="100"/>
            </w:tcMar>
            <w:vAlign w:val="center"/>
          </w:tcPr>
          <w:p>
            <w:r>
              <w:rPr>
                <w:b w:val="false"/>
                <w:bCs w:val="false"/>
              </w:rPr>
              <w:t xml:space="preserve">generalization</w:t>
            </w:r>
          </w:p>
        </w:tc>
        <w:tc>
          <w:tcPr>
            <w:tcW w:type="dxa" w:w="3360"/>
            <w:tcMar>
              <w:top w:type="dxa" w:w="80"/>
              <w:left w:type="dxa" w:w="100"/>
              <w:bottom w:type="dxa" w:w="80"/>
              <w:right w:type="dxa" w:w="100"/>
            </w:tcMar>
            <w:vAlign w:val="center"/>
          </w:tcPr>
          <w:p>
            <w:r>
              <w:rPr>
                <w:b w:val="false"/>
                <w:bCs w:val="false"/>
              </w:rPr>
              <w:t xml:space="preserve">Đặt đơn hàng lẻ là một dạng chuyên biệt của Đặt đơn hàng (số lượng nhỏ, dành cho khách cá nhân), kế thừa toàn bộ hành vi của Đặt đơn hàng.</w:t>
            </w:r>
          </w:p>
        </w:tc>
      </w:tr>
      <w:tr>
        <w:tc>
          <w:tcPr>
            <w:tcW w:type="dxa" w:w="2000"/>
            <w:tcMar>
              <w:top w:type="dxa" w:w="80"/>
              <w:left w:type="dxa" w:w="100"/>
              <w:bottom w:type="dxa" w:w="80"/>
              <w:right w:type="dxa" w:w="100"/>
            </w:tcMar>
            <w:vAlign w:val="center"/>
          </w:tcPr>
          <w:p>
            <w:r>
              <w:rPr>
                <w:b w:val="false"/>
                <w:bCs w:val="false"/>
              </w:rPr>
              <w:t xml:space="preserve">Đặt đơn hàng</w:t>
            </w:r>
          </w:p>
        </w:tc>
        <w:tc>
          <w:tcPr>
            <w:tcW w:type="dxa" w:w="2600"/>
            <w:tcMar>
              <w:top w:type="dxa" w:w="80"/>
              <w:left w:type="dxa" w:w="100"/>
              <w:bottom w:type="dxa" w:w="80"/>
              <w:right w:type="dxa" w:w="100"/>
            </w:tcMar>
            <w:vAlign w:val="center"/>
          </w:tcPr>
          <w:p>
            <w:r>
              <w:rPr>
                <w:b w:val="false"/>
                <w:bCs w:val="false"/>
              </w:rPr>
              <w:t xml:space="preserve">Đặt đơn hàng sỉ</w:t>
            </w:r>
          </w:p>
        </w:tc>
        <w:tc>
          <w:tcPr>
            <w:tcW w:type="dxa" w:w="1400"/>
            <w:tcMar>
              <w:top w:type="dxa" w:w="80"/>
              <w:left w:type="dxa" w:w="100"/>
              <w:bottom w:type="dxa" w:w="80"/>
              <w:right w:type="dxa" w:w="100"/>
            </w:tcMar>
            <w:vAlign w:val="center"/>
          </w:tcPr>
          <w:p>
            <w:r>
              <w:rPr>
                <w:b w:val="false"/>
                <w:bCs w:val="false"/>
              </w:rPr>
              <w:t xml:space="preserve">generalization</w:t>
            </w:r>
          </w:p>
        </w:tc>
        <w:tc>
          <w:tcPr>
            <w:tcW w:type="dxa" w:w="3360"/>
            <w:tcMar>
              <w:top w:type="dxa" w:w="80"/>
              <w:left w:type="dxa" w:w="100"/>
              <w:bottom w:type="dxa" w:w="80"/>
              <w:right w:type="dxa" w:w="100"/>
            </w:tcMar>
            <w:vAlign w:val="center"/>
          </w:tcPr>
          <w:p>
            <w:r>
              <w:rPr>
                <w:b w:val="false"/>
                <w:bCs w:val="false"/>
              </w:rPr>
              <w:t xml:space="preserve">Đặt đơn hàng sỉ là một dạng chuyên biệt của Đặt đơn hàng, dành cho số lượng lớn, kế thừa hành vi của Đặt đơn hàng nhưng bổ sung quy tắc về số lượng tối thiểu/chiết khấu.</w:t>
            </w:r>
          </w:p>
        </w:tc>
      </w:tr>
    </w:tbl>
    <w:p>
      <w:pPr>
        <w:spacing w:after="200"/>
      </w:pPr>
    </w:p>
    <w:p>
      <w:pPr>
        <w:spacing w:after="150"/>
      </w:pPr>
      <w:r>
        <w:t xml:space="preserve">Thành phần Use Case Diagram:</w:t>
      </w:r>
    </w:p>
    <w:p>
      <w:pPr>
        <w:spacing w:after="150"/>
      </w:pPr>
      <w:r>
        <w:t xml:space="preserve">• System Boundary: "Hệ thống RikkeiLogistics"</w:t>
      </w:r>
    </w:p>
    <w:p>
      <w:pPr>
        <w:spacing w:after="150"/>
      </w:pPr>
      <w:r>
        <w:t xml:space="preserve">• Actor: Khách hàng</w:t>
      </w:r>
    </w:p>
    <w:p>
      <w:pPr>
        <w:spacing w:after="150"/>
      </w:pPr>
      <w:r>
        <w:t xml:space="preserve">• Use Case: Đăng nhập, Đặt đơn hàng, Đặt đơn hàng lẻ, Đặt đơn hàng sỉ, Giao hàng hoả tốc</w:t>
      </w:r>
    </w:p>
    <w:p>
      <w:pPr>
        <w:spacing w:after="150"/>
      </w:pPr>
      <w:r>
        <w:t xml:space="preserve">• Association: Khách hàng — Đăng nhập; Khách hàng — Đặt đơn hàng</w:t>
      </w:r>
    </w:p>
    <w:p>
      <w:pPr>
        <w:spacing w:after="150"/>
      </w:pPr>
      <w:r>
        <w:t xml:space="preserve">• Include: Đặt đơn hàng ---&gt; Đăng nhập (mũi tên nét đứt, đầu mở, hướng từ Đặt đơn hàng tới Đăng nhập, nhãn &lt;&lt;include&gt;&gt;)</w:t>
      </w:r>
    </w:p>
    <w:p>
      <w:pPr>
        <w:spacing w:after="150"/>
      </w:pPr>
      <w:r>
        <w:t xml:space="preserve">• Extend: Giao hàng hoả tốc ---&gt; Đặt đơn hàng (mũi tên nét đứt, đầu mở, hướng từ Giao hàng hoả tốc tới Đặt đơn hàng, nhãn &lt;&lt;extend&gt;&gt;)</w:t>
      </w:r>
    </w:p>
    <w:p>
      <w:pPr>
        <w:spacing w:after="150"/>
      </w:pPr>
      <w:r>
        <w:t xml:space="preserve">• Generalization: Đặt đơn hàng lẻ → Đặt đơn hàng; Đặt đơn hàng sỉ → Đặt đơn hàng (mũi tên nét liền, đầu tam giác rỗng, hướng từ use case con tới use case cha)</w:t>
      </w:r>
    </w:p>
    <w:p>
      <w:pPr>
        <w:spacing w:after="150"/>
      </w:pPr>
      <w:r>
        <w:t xml:space="preserve">File nguồn draw.io: usecase_diagram_rikkeilogistics.drawio (đính kèm).</w:t>
      </w:r>
    </w:p>
    <w:p>
      <w:pPr>
        <w:pStyle w:val="Heading1"/>
        <w:spacing w:after="150" w:before="300"/>
      </w:pPr>
      <w:r>
        <w:t xml:space="preserve">Kết luận</w:t>
      </w:r>
    </w:p>
    <w:p>
      <w:pPr>
        <w:spacing w:after="150"/>
      </w:pPr>
      <w:r>
        <w:t xml:space="preserve">Bộ tài liệu đã mô hình hóa trọn vẹn quy trình xử lý đơn hàng của RikkeiLogistics bằng Activity Diagram (thể hiện rõ điều kiện rẽ nhánh khi hết hàng và luồng song song Fork/Join khi đóng gói + gửi thông báo) và Use Case Diagram (làm rõ chức năng bắt buộc qua include, chức năng tuỳ chọn qua extend, và các hình thức đặt đơn chuyên biệt qua generalization).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2026-09-09T08:00:04.343Z</dcterms:created>
  <dcterms:modified xsi:type="dcterms:W3CDTF">2026-09-09T08:00:04.355Z</dcterms:modified>
</cp:coreProperties>
</file>

<file path=docProps/custom.xml><?xml version="1.0" encoding="utf-8"?>
<Properties xmlns="http://schemas.openxmlformats.org/officeDocument/2006/custom-properties" xmlns:vt="http://schemas.openxmlformats.org/officeDocument/2006/docPropsVTypes"/>
</file>