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tính năng hoàn tiền PayKX</w:t>
      </w:r>
    </w:p>
    <w:p>
      <w:r>
        <w:t>SRS 1.0   |   Ngày 27 tháng 10 năm 2026   |   Trưởng dự án PayKX</w:t>
      </w:r>
    </w:p>
    <w:p>
      <w:r>
        <w:t>Tài liệu thống nhất cách sinh viên yêu cầu hoàn trả giao dịch, cách hệ thống xử lý và tiêu chí nghiệm thu. Đây là đặc tả giả định cho bài tập, chưa phải chính sách vận hành được phê duyệt.</w:t>
      </w:r>
    </w:p>
    <w:p>
      <w:pPr>
        <w:pStyle w:val="Subtitle"/>
      </w:pPr>
      <w:r>
        <w:t>Mục lục tự động</w:t>
      </w:r>
    </w:p>
    <w:p>
      <w:pPr>
        <w:spacing w:after="30"/>
        <w:ind w:left="0"/>
        <w:tabs>
          <w:tab w:val="right" w:leader="dot" w:pos="9750"/>
        </w:tabs>
      </w:pPr>
      <w:r>
        <w:fldChar w:fldCharType="begin"/>
      </w:r>
      <w:r>
        <w:instrText> TOC \o "1-2" \h \z \u </w:instrText>
      </w:r>
      <w:r>
        <w:fldChar w:fldCharType="separate"/>
      </w:r>
      <w:hyperlink w:anchor="h1">
        <w:r>
          <w:rPr>
            <w:sz w:val="18"/>
          </w:rPr>
          <w:t>1 Giới thiệu</w:t>
        </w:r>
      </w:hyperlink>
      <w:r>
        <w:tab/>
      </w:r>
      <w:r>
        <w:rPr>
          <w:sz w:val="18"/>
        </w:rPr>
        <w:t>1</w:t>
      </w:r>
    </w:p>
    <w:p>
      <w:pPr>
        <w:spacing w:after="30"/>
        <w:ind w:left="0"/>
        <w:tabs>
          <w:tab w:val="right" w:leader="dot" w:pos="9750"/>
        </w:tabs>
      </w:pPr>
      <w:hyperlink w:anchor="h2">
        <w:r>
          <w:rPr>
            <w:sz w:val="18"/>
          </w:rPr>
          <w:t>2 Tổng quan và yêu cầu khởi tạo</w:t>
        </w:r>
      </w:hyperlink>
      <w:r>
        <w:tab/>
      </w:r>
      <w:r>
        <w:rPr>
          <w:sz w:val="18"/>
        </w:rPr>
        <w:t>2</w:t>
      </w:r>
    </w:p>
    <w:p>
      <w:pPr>
        <w:spacing w:after="30"/>
        <w:ind w:left="220"/>
        <w:tabs>
          <w:tab w:val="right" w:leader="dot" w:pos="9750"/>
        </w:tabs>
      </w:pPr>
      <w:hyperlink w:anchor="h3">
        <w:r>
          <w:rPr>
            <w:sz w:val="18"/>
          </w:rPr>
          <w:t>2.1 Tác nhân và điều kiện áp dụng</w:t>
        </w:r>
      </w:hyperlink>
      <w:r>
        <w:tab/>
      </w:r>
      <w:r>
        <w:rPr>
          <w:sz w:val="18"/>
        </w:rPr>
        <w:t>2</w:t>
      </w:r>
    </w:p>
    <w:p>
      <w:pPr>
        <w:spacing w:after="30"/>
        <w:ind w:left="220"/>
        <w:tabs>
          <w:tab w:val="right" w:leader="dot" w:pos="9750"/>
        </w:tabs>
      </w:pPr>
      <w:hyperlink w:anchor="h4">
        <w:r>
          <w:rPr>
            <w:sz w:val="18"/>
          </w:rPr>
          <w:t>2.2 FR01 Tạo yêu cầu hoàn tiền</w:t>
        </w:r>
      </w:hyperlink>
      <w:r>
        <w:tab/>
      </w:r>
      <w:r>
        <w:rPr>
          <w:sz w:val="18"/>
        </w:rPr>
        <w:t>2</w:t>
      </w:r>
    </w:p>
    <w:p>
      <w:pPr>
        <w:spacing w:after="30"/>
        <w:ind w:left="220"/>
        <w:tabs>
          <w:tab w:val="right" w:leader="dot" w:pos="9750"/>
        </w:tabs>
      </w:pPr>
      <w:hyperlink w:anchor="h5">
        <w:r>
          <w:rPr>
            <w:sz w:val="18"/>
          </w:rPr>
          <w:t>2.3 FR02 Kiểm tra quyền và chống tạo trùng</w:t>
        </w:r>
      </w:hyperlink>
      <w:r>
        <w:tab/>
      </w:r>
      <w:r>
        <w:rPr>
          <w:sz w:val="18"/>
        </w:rPr>
        <w:t>2</w:t>
      </w:r>
    </w:p>
    <w:p>
      <w:pPr>
        <w:spacing w:after="30"/>
        <w:ind w:left="0"/>
        <w:tabs>
          <w:tab w:val="right" w:leader="dot" w:pos="9750"/>
        </w:tabs>
      </w:pPr>
      <w:hyperlink w:anchor="h6">
        <w:r>
          <w:rPr>
            <w:sz w:val="18"/>
          </w:rPr>
          <w:t>3 Yêu cầu xử lý hoàn tiền</w:t>
        </w:r>
      </w:hyperlink>
      <w:r>
        <w:tab/>
      </w:r>
      <w:r>
        <w:rPr>
          <w:sz w:val="18"/>
        </w:rPr>
        <w:t>3</w:t>
      </w:r>
    </w:p>
    <w:p>
      <w:pPr>
        <w:spacing w:after="30"/>
        <w:ind w:left="220"/>
        <w:tabs>
          <w:tab w:val="right" w:leader="dot" w:pos="9750"/>
        </w:tabs>
      </w:pPr>
      <w:hyperlink w:anchor="h7">
        <w:r>
          <w:rPr>
            <w:sz w:val="18"/>
          </w:rPr>
          <w:t>3.1 FR03 Xét duyệt và gửi đối tác</w:t>
        </w:r>
      </w:hyperlink>
      <w:r>
        <w:tab/>
      </w:r>
      <w:r>
        <w:rPr>
          <w:sz w:val="18"/>
        </w:rPr>
        <w:t>3</w:t>
      </w:r>
    </w:p>
    <w:p>
      <w:pPr>
        <w:spacing w:after="30"/>
        <w:ind w:left="220"/>
        <w:tabs>
          <w:tab w:val="right" w:leader="dot" w:pos="9750"/>
        </w:tabs>
      </w:pPr>
      <w:hyperlink w:anchor="h8">
        <w:r>
          <w:rPr>
            <w:sz w:val="18"/>
          </w:rPr>
          <w:t>3.2 FR04 Ghi có ví đúng một lần</w:t>
        </w:r>
      </w:hyperlink>
      <w:r>
        <w:tab/>
      </w:r>
      <w:r>
        <w:rPr>
          <w:sz w:val="18"/>
        </w:rPr>
        <w:t>3</w:t>
      </w:r>
    </w:p>
    <w:p>
      <w:pPr>
        <w:spacing w:after="30"/>
        <w:ind w:left="220"/>
        <w:tabs>
          <w:tab w:val="right" w:leader="dot" w:pos="9750"/>
        </w:tabs>
      </w:pPr>
      <w:hyperlink w:anchor="h9">
        <w:r>
          <w:rPr>
            <w:sz w:val="18"/>
          </w:rPr>
          <w:t>3.3 FR05 Xử lý timeout và thông báo</w:t>
        </w:r>
      </w:hyperlink>
      <w:r>
        <w:tab/>
      </w:r>
      <w:r>
        <w:rPr>
          <w:sz w:val="18"/>
        </w:rPr>
        <w:t>3</w:t>
      </w:r>
    </w:p>
    <w:p>
      <w:pPr>
        <w:spacing w:after="30"/>
        <w:ind w:left="0"/>
        <w:tabs>
          <w:tab w:val="right" w:leader="dot" w:pos="9750"/>
        </w:tabs>
      </w:pPr>
      <w:hyperlink w:anchor="h10">
        <w:r>
          <w:rPr>
            <w:sz w:val="18"/>
          </w:rPr>
          <w:t>4 Quy tắc và yêu cầu chất lượng</w:t>
        </w:r>
      </w:hyperlink>
      <w:r>
        <w:tab/>
      </w:r>
      <w:r>
        <w:rPr>
          <w:sz w:val="18"/>
        </w:rPr>
        <w:t>4</w:t>
      </w:r>
    </w:p>
    <w:p>
      <w:pPr>
        <w:spacing w:after="30"/>
        <w:ind w:left="220"/>
        <w:tabs>
          <w:tab w:val="right" w:leader="dot" w:pos="9750"/>
        </w:tabs>
      </w:pPr>
      <w:hyperlink w:anchor="h11">
        <w:r>
          <w:rPr>
            <w:sz w:val="18"/>
          </w:rPr>
          <w:t>4.1 Hạn mức và thời gian xử lý</w:t>
        </w:r>
      </w:hyperlink>
      <w:r>
        <w:tab/>
      </w:r>
      <w:r>
        <w:rPr>
          <w:sz w:val="18"/>
        </w:rPr>
        <w:t>4</w:t>
      </w:r>
    </w:p>
    <w:p>
      <w:pPr>
        <w:spacing w:after="30"/>
        <w:ind w:left="220"/>
        <w:tabs>
          <w:tab w:val="right" w:leader="dot" w:pos="9750"/>
        </w:tabs>
      </w:pPr>
      <w:hyperlink w:anchor="h12">
        <w:r>
          <w:rPr>
            <w:sz w:val="18"/>
          </w:rPr>
          <w:t>4.2 Bảo mật và hiệu năng</w:t>
        </w:r>
      </w:hyperlink>
      <w:r>
        <w:tab/>
      </w:r>
      <w:r>
        <w:rPr>
          <w:sz w:val="18"/>
        </w:rPr>
        <w:t>4</w:t>
      </w:r>
    </w:p>
    <w:p>
      <w:pPr>
        <w:spacing w:after="30"/>
        <w:ind w:left="220"/>
        <w:tabs>
          <w:tab w:val="right" w:leader="dot" w:pos="9750"/>
        </w:tabs>
      </w:pPr>
      <w:hyperlink w:anchor="h13">
        <w:r>
          <w:rPr>
            <w:sz w:val="18"/>
          </w:rPr>
          <w:t>4.3 Lỗi nghiệp vụ và đối soát</w:t>
        </w:r>
      </w:hyperlink>
      <w:r>
        <w:tab/>
      </w:r>
      <w:r>
        <w:rPr>
          <w:sz w:val="18"/>
        </w:rPr>
        <w:t>4</w:t>
      </w:r>
    </w:p>
    <w:p>
      <w:pPr>
        <w:spacing w:after="30"/>
        <w:ind w:left="0"/>
        <w:tabs>
          <w:tab w:val="right" w:leader="dot" w:pos="9750"/>
        </w:tabs>
      </w:pPr>
      <w:hyperlink w:anchor="h14">
        <w:r>
          <w:rPr>
            <w:sz w:val="18"/>
          </w:rPr>
          <w:t>5 Dữ liệu và nghiệm thu</w:t>
        </w:r>
      </w:hyperlink>
      <w:r>
        <w:tab/>
      </w:r>
      <w:r>
        <w:rPr>
          <w:sz w:val="18"/>
        </w:rPr>
        <w:t>5</w:t>
      </w:r>
    </w:p>
    <w:p>
      <w:pPr>
        <w:spacing w:after="30"/>
        <w:ind w:left="220"/>
        <w:tabs>
          <w:tab w:val="right" w:leader="dot" w:pos="9750"/>
        </w:tabs>
      </w:pPr>
      <w:hyperlink w:anchor="h15">
        <w:r>
          <w:rPr>
            <w:sz w:val="18"/>
          </w:rPr>
          <w:t>5.1 Trường dữ liệu trọng yếu</w:t>
        </w:r>
      </w:hyperlink>
      <w:r>
        <w:tab/>
      </w:r>
      <w:r>
        <w:rPr>
          <w:sz w:val="18"/>
        </w:rPr>
        <w:t>5</w:t>
      </w:r>
    </w:p>
    <w:p>
      <w:pPr>
        <w:spacing w:after="30"/>
        <w:ind w:left="220"/>
        <w:tabs>
          <w:tab w:val="right" w:leader="dot" w:pos="9750"/>
        </w:tabs>
      </w:pPr>
      <w:hyperlink w:anchor="h16">
        <w:r>
          <w:rPr>
            <w:sz w:val="18"/>
          </w:rPr>
          <w:t>5.2 Ca kiểm thử chấp nhận</w:t>
        </w:r>
      </w:hyperlink>
      <w:r>
        <w:tab/>
      </w:r>
      <w:r>
        <w:rPr>
          <w:sz w:val="18"/>
        </w:rPr>
        <w:t>5</w:t>
      </w:r>
    </w:p>
    <w:p>
      <w:pPr>
        <w:spacing w:after="30"/>
        <w:ind w:left="220"/>
        <w:tabs>
          <w:tab w:val="right" w:leader="dot" w:pos="9750"/>
        </w:tabs>
      </w:pPr>
      <w:hyperlink w:anchor="h17">
        <w:r>
          <w:rPr>
            <w:sz w:val="18"/>
          </w:rPr>
          <w:t>5.3 Điều kiện bàn giao</w:t>
        </w:r>
      </w:hyperlink>
      <w:r>
        <w:tab/>
      </w:r>
      <w:r>
        <w:rPr>
          <w:sz w:val="18"/>
        </w:rPr>
        <w:t>5</w:t>
      </w:r>
      <w:r>
        <w:fldChar w:fldCharType="end"/>
      </w:r>
    </w:p>
    <w:p>
      <w:bookmarkStart w:id="1" w:name="h1"/>
      <w:pPr>
        <w:pStyle w:val="Heading1"/>
      </w:pPr>
      <w:r>
        <w:t>1 Giới thiệu</w:t>
      </w:r>
      <w:bookmarkEnd w:id="1"/>
    </w:p>
    <w:p>
      <w:r>
        <w:t>Phạm vi gồm hoàn tiền toàn phần hoặc một phần cho giao dịch thanh toán đã thành công. Người dùng chỉ xem và yêu cầu hoàn giao dịch thuộc ví của mình. Hoàn tiền ưu đãi trong báo cáo tài chính là chi phí khuyến mại riêng, không phải hoàn trả giao dịch gốc trong SRS này.</w:t>
      </w:r>
    </w:p>
    <w:p>
      <w:r>
        <w:t>Tài liệu dùng cho nhóm phát triển, kiểm thử và đối soát. Mọi số tiền lưu theo đồng Việt Nam nguyên, thời gian hiển thị theo Asia/Ho_Chi_Minh. Các hạn mức và thời gian dưới đây là giả định nghiệp vụ để kiểm thử.</w:t>
      </w:r>
    </w:p>
    <w:p>
      <w:r>
        <w:br w:type="page"/>
      </w:r>
    </w:p>
    <w:p>
      <w:bookmarkStart w:id="2" w:name="h2"/>
      <w:pPr>
        <w:pStyle w:val="Heading1"/>
      </w:pPr>
      <w:r>
        <w:t>2 Tổng quan và yêu cầu khởi tạo</w:t>
      </w:r>
      <w:bookmarkEnd w:id="2"/>
    </w:p>
    <w:p>
      <w:bookmarkStart w:id="3" w:name="h3"/>
      <w:pPr>
        <w:pStyle w:val="Heading2"/>
      </w:pPr>
      <w:r>
        <w:t>2.1 Tác nhân và điều kiện áp dụng</w:t>
      </w:r>
      <w:bookmarkEnd w:id="3"/>
    </w:p>
    <w:p>
      <w:r>
        <w:t>Sinh viên đăng nhập ứng dụng để tạo yêu cầu và xem kết quả. Nhân viên vận hành xét duyệt trường hợp cần kiểm tra. Dịch vụ thanh toán gửi lệnh hoàn tới đối tác; dịch vụ sổ cái cập nhật ví và lưu bằng chứng đối soát.</w:t>
      </w:r>
    </w:p>
    <w:p>
      <w:r>
        <w:t>Giao dịch gốc phải tồn tại, thuộc người dùng và ở trạng thái THÀNH_CÔNG. Tổng số tiền đã hoàn thành cộng số tiền đang giữ cho yêu cầu chờ xử lý không được vượt số tiền gốc. Giao dịch đã hủy hoặc chưa thanh toán không đủ điều kiện.</w:t>
      </w:r>
    </w:p>
    <w:p>
      <w:bookmarkStart w:id="4" w:name="h4"/>
      <w:pPr>
        <w:pStyle w:val="Heading2"/>
      </w:pPr>
      <w:r>
        <w:t>2.2 FR01 Tạo yêu cầu hoàn tiền</w:t>
      </w:r>
      <w:bookmarkEnd w:id="4"/>
    </w:p>
    <w:p>
      <w:r>
        <w:t>Người dùng mở chi tiết giao dịch, chọn Hoàn tiền, nhập số tiền và lý do rồi xác nhận. Hệ thống hiển thị số tiền có thể hoàn, tài khoản nhận, thời hạn xử lý dự kiến và mã giao dịch gốc trước khi gửi.</w:t>
      </w:r>
    </w:p>
    <w:p>
      <w:r>
        <w:t>Đầu vào bắt buộc: transaction_id, amount, reason và idempotency_key. Số tiền phải là số nguyên lớn hơn 0. Lý do dài từ 10 đến 500 ký tự sau khi loại khoảng trắng ở đầu và cuối. Mã yêu cầu refund_id do máy chủ sinh và không trùng.</w:t>
      </w:r>
    </w:p>
    <w:p>
      <w:r>
        <w:t>Khi hợp lệ, hệ thống tạo yêu cầu CHỜ_DUYỆT, giữ phần hạn mức tương ứng và trả mã yêu cầu. Khi không hợp lệ, hệ thống trả thông báo cụ thể, không tạo yêu cầu và không thay đổi số dư ví.</w:t>
      </w:r>
    </w:p>
    <w:p>
      <w:bookmarkStart w:id="5" w:name="h5"/>
      <w:pPr>
        <w:pStyle w:val="Heading2"/>
      </w:pPr>
      <w:r>
        <w:t>2.3 FR02 Kiểm tra quyền và chống tạo trùng</w:t>
      </w:r>
      <w:bookmarkEnd w:id="5"/>
    </w:p>
    <w:p>
      <w:r>
        <w:t>Máy chủ xác minh chủ sở hữu giao dịch ở mọi lần gọi. Cùng một idempotency_key và cùng nội dung phải trả lại yêu cầu cũ. Cùng khóa nhưng khác nội dung phải bị từ chối. Hai yêu cầu đồng thời phải kiểm tra và giữ hạn mức trong cùng một giao dịch cơ sở dữ liệu.</w:t>
      </w:r>
    </w:p>
    <w:p>
      <w:r>
        <w:t>Tiêu chí chấp nhận: gửi lại 10 lần cùng khóa chỉ tạo một refund_id; ví không phát sinh khoản ghi có nào tại bước tạo yêu cầu. Người dùng B truy cập mã giao dịch của A nhận lỗi không có quyền, không lộ thông tin giao dịch.</w:t>
      </w:r>
    </w:p>
    <w:p>
      <w:r>
        <w:br w:type="page"/>
      </w:r>
    </w:p>
    <w:p>
      <w:bookmarkStart w:id="6" w:name="h6"/>
      <w:pPr>
        <w:pStyle w:val="Heading1"/>
      </w:pPr>
      <w:r>
        <w:t>3 Yêu cầu xử lý hoàn tiền</w:t>
      </w:r>
      <w:bookmarkEnd w:id="6"/>
    </w:p>
    <w:p>
      <w:bookmarkStart w:id="7" w:name="h7"/>
      <w:pPr>
        <w:pStyle w:val="Heading2"/>
      </w:pPr>
      <w:r>
        <w:t>3.1 FR03 Xét duyệt và gửi đối tác</w:t>
      </w:r>
      <w:bookmarkEnd w:id="7"/>
    </w:p>
    <w:p>
      <w:r>
        <w:t>Nhân viên vận hành xem bằng chứng và chọn duyệt hoặc từ chối, kèm lý do. Người tạo quyết định phải có quyền hoàn tiền. Khi duyệt, trạng thái chuyển sang ĐANG_XỬ_LÝ và hệ thống gửi đúng số tiền đã duyệt tới đối tác bằng khóa chống trùng.</w:t>
      </w:r>
    </w:p>
    <w:p>
      <w:r>
        <w:t>Trường hợp từ chối, hệ thống ghi lý do, chuyển sang TỪ_CHỐI và giải phóng hạn mức giữ chỗ. Không gửi lệnh hoàn và không ghi có ví. Lịch sử phải giữ người thực hiện, thời điểm, trạng thái trước và sau quyết định.</w:t>
      </w:r>
    </w:p>
    <w:p>
      <w:bookmarkStart w:id="8" w:name="h8"/>
      <w:pPr>
        <w:pStyle w:val="Heading2"/>
      </w:pPr>
      <w:r>
        <w:t>3.2 FR04 Ghi có ví đúng một lần</w:t>
      </w:r>
      <w:bookmarkEnd w:id="8"/>
    </w:p>
    <w:p>
      <w:r>
        <w:t>Chỉ ghi có khi đối tác xác nhận hoàn thành bằng phản hồi đã kiểm tra chữ ký hoặc kết quả truy vấn tin cậy. Máy chủ kiểm tra refund_id, partner_ref, số tiền và đơn vị tiền tệ. Thông báo không khớp phải vào hàng chờ kiểm tra, chưa cập nhật số dư.</w:t>
      </w:r>
    </w:p>
    <w:p>
      <w:r>
        <w:t>Bút toán hoàn tiền và trạng thái HOÀN_TẤT phải được ghi nguyên tử. Áp dụng ràng buộc duy nhất cho bút toán theo refund_id. Ghi sổ cân bằng: giảm nghĩa vụ với nguồn hoàn tương ứng và tăng số dư khả dụng của ví đúng số tiền được duyệt.</w:t>
      </w:r>
    </w:p>
    <w:p>
      <w:r>
        <w:t>Callback lặp chỉ trả xác nhận xử lý, không ghi có thêm. Callback đến sai thứ tự không được đưa yêu cầu HOÀN_TẤT trở về ĐANG_XỬ_LÝ. Không sửa hay xóa bút toán đã ghi; điều chỉnh cần bút toán mới có tham chiếu.</w:t>
      </w:r>
    </w:p>
    <w:p>
      <w:bookmarkStart w:id="9" w:name="h9"/>
      <w:pPr>
        <w:pStyle w:val="Heading2"/>
      </w:pPr>
      <w:r>
        <w:t>3.3 FR05 Xử lý timeout và thông báo</w:t>
      </w:r>
      <w:bookmarkEnd w:id="9"/>
    </w:p>
    <w:p>
      <w:r>
        <w:t>Timeout chuyển yêu cầu sang CHỜ_XÁC_MINH. Hệ thống truy vấn đối tác bằng mã tham chiếu trước khi gửi lại. Chỉ thử lại với khóa chống trùng đã dùng; không suy luận thất bại từ việc mất kết nối. Giữ hạn mức đến khi có kết quả cuối cùng.</w:t>
      </w:r>
    </w:p>
    <w:p>
      <w:r>
        <w:t>Ứng dụng thông báo khi tiếp nhận, từ chối và hoàn tất. Màn hình lịch sử hiển thị refund_id, số tiền, thời điểm, trạng thái và lý do. Lỗi gửi thông báo không được hoàn tác bút toán hoàn tiền đã thành công.</w:t>
      </w:r>
    </w:p>
    <w:p>
      <w:r>
        <w:br w:type="page"/>
      </w:r>
    </w:p>
    <w:p>
      <w:bookmarkStart w:id="10" w:name="h10"/>
      <w:pPr>
        <w:pStyle w:val="Heading1"/>
      </w:pPr>
      <w:r>
        <w:t>4 Quy tắc và yêu cầu chất lượng</w:t>
      </w:r>
      <w:bookmarkEnd w:id="10"/>
    </w:p>
    <w:p>
      <w:bookmarkStart w:id="11" w:name="h11"/>
      <w:pPr>
        <w:pStyle w:val="Heading2"/>
      </w:pPr>
      <w:r>
        <w:t>4.1 Hạn mức và thời gian xử lý</w:t>
      </w:r>
      <w:bookmarkEnd w:id="11"/>
    </w:p>
    <w:tbl>
      <w:tblPr>
        <w:tblW w:type="auto" w:w="0"/>
        <w:jc w:val="center"/>
        <w:tblLayout w:type="fixed"/>
        <w:tblLook w:firstColumn="1" w:firstRow="1" w:lastColumn="0" w:lastRow="0" w:noHBand="0" w:noVBand="1" w:val="04A0"/>
      </w:tblPr>
      <w:tblGrid>
        <w:gridCol w:w="936"/>
        <w:gridCol w:w="8856"/>
      </w:tblGrid>
      <w:t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2356A"/>
          </w:tcPr>
          <w:p>
            <w:pPr>
              <w:spacing w:after="40"/>
            </w:pPr>
            <w:r>
              <w:rPr>
                <w:b/>
                <w:color w:val="FFFFFF"/>
                <w:sz w:val="20"/>
              </w:rPr>
              <w:t>Mã</w:t>
            </w:r>
          </w:p>
        </w:tc>
        <w:tc>
          <w:tcPr>
            <w:tcW w:type="dxa" w:w="88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2356A"/>
          </w:tcPr>
          <w:p>
            <w:pPr>
              <w:spacing w:after="40"/>
            </w:pPr>
            <w:r>
              <w:rPr>
                <w:b/>
                <w:color w:val="FFFFFF"/>
                <w:sz w:val="20"/>
              </w:rPr>
              <w:t>Quy tắc giả định</w:t>
            </w:r>
          </w:p>
        </w:tc>
      </w:tr>
      <w:t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BR01</w:t>
            </w:r>
          </w:p>
        </w:tc>
        <w:tc>
          <w:tcPr>
            <w:tcW w:type="dxa" w:w="88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Tạo yêu cầu trong 7 ngày kể từ thời điểm thanh toán thành công.</w:t>
            </w:r>
          </w:p>
        </w:tc>
      </w:tr>
      <w:t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BR02</w:t>
            </w:r>
          </w:p>
        </w:tc>
        <w:tc>
          <w:tcPr>
            <w:tcW w:type="dxa" w:w="88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Tổng số tiền hoàn tất và đang giữ chỗ không vượt giá trị giao dịch gốc.</w:t>
            </w:r>
          </w:p>
        </w:tc>
      </w:tr>
      <w:t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BR03</w:t>
            </w:r>
          </w:p>
        </w:tc>
        <w:tc>
          <w:tcPr>
            <w:tcW w:type="dxa" w:w="88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Mỗi yêu cầu tối đa 2.000.000 VND; giao dịch có thể có nhiều lần hoàn một phần.</w:t>
            </w:r>
          </w:p>
        </w:tc>
      </w:tr>
      <w:t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BR04</w:t>
            </w:r>
          </w:p>
        </w:tc>
        <w:tc>
          <w:tcPr>
            <w:tcW w:type="dxa" w:w="88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Mục tiêu xử lý tối đa 3 ngày làm việc sau khi duyệt; quá hạn tạo cảnh báo vận hành.</w:t>
            </w:r>
          </w:p>
        </w:tc>
      </w:tr>
      <w:t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BR05</w:t>
            </w:r>
          </w:p>
        </w:tc>
        <w:tc>
          <w:tcPr>
            <w:tcW w:type="dxa" w:w="88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Ngày làm việc là thứ Hai đến thứ Sáu, loại trừ danh sách ngày nghỉ được cấu hình.</w:t>
            </w:r>
          </w:p>
        </w:tc>
      </w:tr>
    </w:tbl>
    <w:p>
      <w:bookmarkStart w:id="12" w:name="h12"/>
      <w:pPr>
        <w:pStyle w:val="Heading2"/>
      </w:pPr>
      <w:r>
        <w:t>4.2 Bảo mật và hiệu năng</w:t>
      </w:r>
      <w:bookmarkEnd w:id="12"/>
    </w:p>
    <w:p>
      <w:r>
        <w:t>NFR01: phân quyền theo vai trò; mọi API hoàn tiền yêu cầu phiên đăng nhập hợp lệ. Chỉ vận hành có quyền mới được xét duyệt. Nhật ký không lưu mật khẩu, mã OTP hoặc toàn bộ thông tin tài khoản ngân hàng.</w:t>
      </w:r>
    </w:p>
    <w:p>
      <w:r>
        <w:t>NFR02: mục tiêu thời gian phản hồi tạo yêu cầu p95 không quá 2 giây ở tải thử 50 yêu cầu mỗi giây, không gồm thời gian xử lý đối tác. Chạy thử tải 15 phút và báo cáo riêng tỷ lệ lỗi, p95 và số lần tạo trùng.</w:t>
      </w:r>
    </w:p>
    <w:p>
      <w:r>
        <w:t>NFR03: lưu dấu vết đầy đủ các chuyển trạng thái và bút toán. Khi khởi động lại dịch vụ, các yêu cầu chưa có kết quả phải tiếp tục được xác minh; không mất yêu cầu và không ghi có lặp.</w:t>
      </w:r>
    </w:p>
    <w:p>
      <w:bookmarkStart w:id="13" w:name="h13"/>
      <w:pPr>
        <w:pStyle w:val="Heading2"/>
      </w:pPr>
      <w:r>
        <w:t>4.3 Lỗi nghiệp vụ và đối soát</w:t>
      </w:r>
      <w:bookmarkEnd w:id="13"/>
    </w:p>
    <w:p>
      <w:r>
        <w:t>Các lỗi cần trả rõ: TX_NOT_FOUND khi không tìm thấy giao dịch; REFUND_LIMIT khi vượt hạn mức; INVALID_AMOUNT khi số tiền không hợp lệ; REQUEST_CONFLICT khi tái sử dụng khóa cho nội dung khác. Lỗi kỹ thuật trả mã theo dõi để hỗ trợ tra cứu.</w:t>
      </w:r>
    </w:p>
    <w:p>
      <w:r>
        <w:t>Hằng ngày, vận hành so sánh tổng tiền đối tác xác nhận với sổ hoàn tiền và sổ ví theo cùng kỳ, cùng đơn vị. Chênh lệch hoặc giao dịch chưa rõ kết quả phải có người phụ trách và bằng chứng xử lý trước khi chốt kỳ.</w:t>
      </w:r>
    </w:p>
    <w:p>
      <w:r>
        <w:br w:type="page"/>
      </w:r>
    </w:p>
    <w:p>
      <w:bookmarkStart w:id="14" w:name="h14"/>
      <w:pPr>
        <w:pStyle w:val="Heading1"/>
      </w:pPr>
      <w:r>
        <w:t>5 Dữ liệu và nghiệm thu</w:t>
      </w:r>
      <w:bookmarkEnd w:id="14"/>
    </w:p>
    <w:p>
      <w:bookmarkStart w:id="15" w:name="h15"/>
      <w:pPr>
        <w:pStyle w:val="Heading2"/>
      </w:pPr>
      <w:r>
        <w:t>5.1 Trường dữ liệu trọng yếu</w:t>
      </w:r>
      <w:bookmarkEnd w:id="15"/>
    </w:p>
    <w:tbl>
      <w:tblPr>
        <w:tblW w:type="auto" w:w="0"/>
        <w:jc w:val="center"/>
        <w:tblLayout w:type="fixed"/>
        <w:tblLook w:firstColumn="1" w:firstRow="1" w:lastColumn="0" w:lastRow="0" w:noHBand="0" w:noVBand="1" w:val="04A0"/>
      </w:tblPr>
      <w:tblGrid>
        <w:gridCol w:w="2376"/>
        <w:gridCol w:w="1296"/>
        <w:gridCol w:w="6120"/>
      </w:tblGrid>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2356A"/>
          </w:tcPr>
          <w:p>
            <w:pPr>
              <w:spacing w:after="40"/>
            </w:pPr>
            <w:r>
              <w:rPr>
                <w:b/>
                <w:color w:val="FFFFFF"/>
                <w:sz w:val="20"/>
              </w:rPr>
              <w:t>Field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2356A"/>
          </w:tcPr>
          <w:p>
            <w:pPr>
              <w:spacing w:after="40"/>
            </w:pPr>
            <w:r>
              <w:rPr>
                <w:b/>
                <w:color w:val="FFFFFF"/>
                <w:sz w:val="20"/>
              </w:rPr>
              <w:t>Kiểu</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2356A"/>
          </w:tcPr>
          <w:p>
            <w:pPr>
              <w:spacing w:after="40"/>
            </w:pPr>
            <w:r>
              <w:rPr>
                <w:b/>
                <w:color w:val="FFFFFF"/>
                <w:sz w:val="20"/>
              </w:rPr>
              <w:t>Ý nghĩa và ràng buộc</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refund_id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Text</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Khóa chính, bắt buộc, duy nhất.</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transaction_id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Text</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Tham chiếu giao dịch gốc, bắt buộc.</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user_id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Text</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Chủ ví, kiểm tra với giao dịch gốc.</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amount</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Integer</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Số VND nguyên, lớn hơn 0.</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status</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Enum</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Trạng thái hợp lệ theo luồng xử lý.</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idempotency_key</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Text</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Duy nhất theo phạm vi người gọi và thao tác.</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partner_ref</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Text</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Tham chiếu đối tác, phục vụ xác minh.</w:t>
            </w:r>
          </w:p>
        </w:tc>
      </w:tr>
      <w:t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created_at</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Datetime</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Thời điểm tạo, lưu thống nhất UTC.</w:t>
            </w:r>
          </w:p>
        </w:tc>
      </w:tr>
    </w:tbl>
    <w:p>
      <w:bookmarkStart w:id="16" w:name="h16"/>
      <w:pPr>
        <w:pStyle w:val="Heading2"/>
      </w:pPr>
      <w:r>
        <w:t>5.2 Ca kiểm thử chấp nhận</w:t>
      </w:r>
      <w:bookmarkEnd w:id="16"/>
    </w:p>
    <w:tbl>
      <w:tblPr>
        <w:tblW w:type="auto" w:w="0"/>
        <w:jc w:val="center"/>
        <w:tblLayout w:type="fixed"/>
        <w:tblLook w:firstColumn="1" w:firstRow="1" w:lastColumn="0" w:lastRow="0" w:noHBand="0" w:noVBand="1" w:val="04A0"/>
      </w:tblPr>
      <w:tblGrid>
        <w:gridCol w:w="864"/>
        <w:gridCol w:w="4032"/>
        <w:gridCol w:w="4896"/>
      </w:tblGrid>
      <w:t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2356A"/>
          </w:tcPr>
          <w:p>
            <w:pPr>
              <w:spacing w:after="40"/>
            </w:pPr>
            <w:r>
              <w:rPr>
                <w:b/>
                <w:color w:val="FFFFFF"/>
                <w:sz w:val="20"/>
              </w:rPr>
              <w:t>Mã</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2356A"/>
          </w:tcPr>
          <w:p>
            <w:pPr>
              <w:spacing w:after="40"/>
            </w:pPr>
            <w:r>
              <w:rPr>
                <w:b/>
                <w:color w:val="FFFFFF"/>
                <w:sz w:val="20"/>
              </w:rPr>
              <w:t>Tình huống</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2356A"/>
          </w:tcPr>
          <w:p>
            <w:pPr>
              <w:spacing w:after="40"/>
            </w:pPr>
            <w:r>
              <w:rPr>
                <w:b/>
                <w:color w:val="FFFFFF"/>
                <w:sz w:val="20"/>
              </w:rPr>
              <w:t>Kết quả mong đợi</w:t>
            </w:r>
          </w:p>
        </w:tc>
      </w:tr>
      <w:t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TC01</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Hoàn 50.000 trên GD 200.000</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Hoàn tất và ghi có 50.000 đúng một lần.</w:t>
            </w:r>
          </w:p>
        </w:tc>
      </w:tr>
      <w:t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TC02</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Đã hoàn 180.000, xin thêm 30.000</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Từ chối vượt số tiền còn được hoàn.</w:t>
            </w:r>
          </w:p>
        </w:tc>
      </w:tr>
      <w:t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TC03</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Gửi lặp cùng khóa và callback</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Một yêu cầu và một bút toán ghi có.</w:t>
            </w:r>
          </w:p>
        </w:tc>
      </w:tr>
      <w:t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TC04</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Mất kết nối sau khi đối tác nhận</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Chờ xác minh, không tạo lệnh mới tùy ý.</w:t>
            </w:r>
          </w:p>
        </w:tc>
      </w:tr>
      <w:t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TC05</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Hai yêu cầu đồng thời vượt hạn mức</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pPr>
            <w:r>
              <w:rPr>
                <w:b w:val="0"/>
                <w:color w:val="000000"/>
                <w:sz w:val="20"/>
              </w:rPr>
              <w:t>Chỉ giữ chỗ trong phạm vi số tiền còn lại.</w:t>
            </w:r>
          </w:p>
        </w:tc>
      </w:tr>
      <w:t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TC06</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Sai chủ ví hoặc callback sai chữ ký</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9"/>
          </w:tcPr>
          <w:p>
            <w:pPr>
              <w:spacing w:after="40"/>
            </w:pPr>
            <w:r>
              <w:rPr>
                <w:b w:val="0"/>
                <w:color w:val="000000"/>
                <w:sz w:val="20"/>
              </w:rPr>
              <w:t>Từ chối, không ghi có, lưu dấu vết lỗi.</w:t>
            </w:r>
          </w:p>
        </w:tc>
      </w:tr>
    </w:tbl>
    <w:p>
      <w:bookmarkStart w:id="17" w:name="h17"/>
      <w:pPr>
        <w:pStyle w:val="Heading2"/>
      </w:pPr>
      <w:r>
        <w:t>5.3 Điều kiện bàn giao</w:t>
      </w:r>
      <w:bookmarkEnd w:id="17"/>
    </w:p>
    <w:p>
      <w:r>
        <w:t>Nghiệm thu khi các ca TC01 đến TC06 đạt, không còn lỗi tạo trùng hoặc ghi có sai, đối soát không có chênh lệch chưa giải thích và kiểm thử tải đạt NFR02. Trưởng dự án, đại diện vận hành và kiểm thử ghi nhận kết quả trước khi đưa vào sử dụng.</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PayKX   •   Trang </w:t>
    </w:r>
    <w:fldSimple w:instr="PAGE"/>
    <w:r>
      <w:rPr>
        <w:sz w:val="18"/>
      </w:rPr>
      <w:t xml:space="preserve"> /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PayKX   /   Đặc tả yêu cầu phần mềm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tính năng hoàn tiền PayKX</dc:title>
  <dc:subject>SRS hoàn tiền</dc:subject>
  <dc:creator>Nhóm dự án PayKX</dc:creator>
  <cp:keywords/>
  <dc:description>generated by python-docx</dc:description>
  <cp:lastModifiedBy/>
  <cp:revision>1</cp:revision>
  <dcterms:created xsi:type="dcterms:W3CDTF">2013-12-23T23:15:00Z</dcterms:created>
  <dcterms:modified xsi:type="dcterms:W3CDTF">2013-12-23T23:15:00Z</dcterms:modified>
  <cp:category/>
</cp:coreProperties>
</file>