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Đặc tả nền tảng đấu giá nhà đất Smart Home</w:t>
      </w:r>
    </w:p>
    <w:p>
      <w:r>
        <w:t>Phiên bản 1.0 • Ngày 27 tháng 10 năm 2026 • Bản đề xuất học tập</w:t>
      </w:r>
    </w:p>
    <w:p>
      <w:r>
        <w:t>Smart Home hỗ trợ chủ tài sản đăng hồ sơ, người mua tham gia phiên trả giá và bộ phận vận hành theo dõi kết quả. Tài liệu này là cơ sở trao đổi phạm vi MVP với đối tác và xây dựng tiêu chí nghiệm thu. Các chỉ tiêu kỹ thuật là yêu cầu đề xuất, chưa phải kết quả đo của sản phẩm đã triển khai.</w:t>
      </w:r>
    </w:p>
    <w:p>
      <w:pPr>
        <w:pStyle w:val="Heading1"/>
      </w:pPr>
      <w:r>
        <w:t>1 Tổng quan và phạm vi</w:t>
      </w:r>
    </w:p>
    <w:p>
      <w:pPr>
        <w:pStyle w:val="Heading2"/>
      </w:pPr>
      <w:r>
        <w:t>1.1 Mục tiêu sản phẩm</w:t>
      </w:r>
    </w:p>
    <w:p>
      <w:r>
        <w:t>Tập trung thông tin tài sản và lưu lịch sử trả giá có thể kiểm tra. Máy chủ xác định giá hợp lệ và kết quả phiên. Việc kết thúc phiên tạo kết quả chờ đối soát, không tự động hoàn tất thủ tục chuyển quyền sở hữu.</w:t>
      </w:r>
    </w:p>
    <w:p>
      <w:pPr>
        <w:pStyle w:val="Heading2"/>
      </w:pPr>
      <w:r>
        <w:t>1.2 Phạm vi MVP</w:t>
      </w:r>
    </w:p>
    <w:p>
      <w:r>
        <w:t>Bao gồm tài khoản, hồ sơ bất động sản, tìm kiếm, đăng ký tham gia, ghi nhận trạng thái tiền đặt trước, trả giá, kết thúc phiên, thông báo và nhật ký kiểm tra. Danh mục cho thuê hỗ trợ tính giá thuê và hoa hồng thông thường; MVP chỉ tổ chức phiên trả giá cho tài sản bán.</w:t>
      </w:r>
    </w:p>
    <w:p>
      <w:r>
        <w:t>Chưa bao gồm định giá bằng AI, đấu giá tự động thay người mua, cho vay và tự động chuyển quyền sở hữu. Trước pilot giao dịch thật, đối tác phải thống nhất mô hình tổ chức, thẩm quyền và các điều kiện áp dụng.</w:t>
      </w:r>
    </w:p>
    <w:p>
      <w:pPr>
        <w:pStyle w:val="Heading2"/>
      </w:pPr>
      <w:r>
        <w:t>1.3 Người sử dụng</w:t>
      </w:r>
    </w:p>
    <w:tbl>
      <w:tblPr>
        <w:tblW w:type="auto" w:w="0"/>
        <w:tblLayout w:type="fixed"/>
        <w:tblLook w:firstColumn="1" w:firstRow="1" w:lastColumn="0" w:lastRow="0" w:noHBand="0" w:noVBand="1" w:val="04A0"/>
      </w:tblPr>
      <w:tblGrid>
        <w:gridCol w:w="2880"/>
        <w:gridCol w:w="6912"/>
      </w:tblGrid>
      <w:tr>
        <w:trPr>
          <w:tblHeader/>
        </w:trPr>
        <w:tc>
          <w:tcPr>
            <w:tcW w:type="dxa" w:w="2880"/>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Vai trò</w:t>
            </w:r>
          </w:p>
        </w:tc>
        <w:tc>
          <w:tcPr>
            <w:tcW w:type="dxa" w:w="6912"/>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Quyền chính</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Khách</w:t>
            </w:r>
          </w:p>
        </w:tc>
        <w:tc>
          <w:tcPr>
            <w:tcW w:type="dxa" w:w="691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Xem thông tin công khai và tìm kiếm</w:t>
            </w:r>
          </w:p>
        </w:tc>
      </w:tr>
      <w:tr>
        <w:tc>
          <w:tcPr>
            <w:tcW w:type="dxa" w:w="288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Người mua</w:t>
            </w:r>
          </w:p>
        </w:tc>
        <w:tc>
          <w:tcPr>
            <w:tcW w:type="dxa" w:w="691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Đăng ký phiên, đặt giá, xem kết quả của mình</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Chủ tài sản và môi giới</w:t>
            </w:r>
          </w:p>
        </w:tc>
        <w:tc>
          <w:tcPr>
            <w:tcW w:type="dxa" w:w="691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Tạo hồ sơ, nộp tài liệu, theo dõi phiên được phân quyền</w:t>
            </w:r>
          </w:p>
        </w:tc>
      </w:tr>
      <w:tr>
        <w:tc>
          <w:tcPr>
            <w:tcW w:type="dxa" w:w="288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Vận hành</w:t>
            </w:r>
          </w:p>
        </w:tc>
        <w:tc>
          <w:tcPr>
            <w:tcW w:type="dxa" w:w="691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Duyệt hồ sơ và điều kiện tham gia, đối soát, xử lý yêu cầu</w:t>
            </w:r>
          </w:p>
        </w:tc>
      </w:tr>
      <w:tr>
        <w:tc>
          <w:tcPr>
            <w:tcW w:type="dxa" w:w="288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Quản trị</w:t>
            </w:r>
          </w:p>
        </w:tc>
        <w:tc>
          <w:tcPr>
            <w:tcW w:type="dxa" w:w="691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Quản lý tài khoản, cấu hình và phân quyền</w:t>
            </w:r>
          </w:p>
        </w:tc>
      </w:tr>
    </w:tbl>
    <w:p/>
    <w:p>
      <w:r>
        <w:t>Điều hướng tài liệu: mở View &gt; Navigation Pane để xem các mục Heading 1, Heading 2 và Heading 3. Các số mục là phần nội dung của tiêu đề; cấp Heading được gán đúng trong Word.</w:t>
      </w:r>
    </w:p>
    <w:p>
      <w:pPr>
        <w:pStyle w:val="Heading1"/>
        <w:pageBreakBefore/>
      </w:pPr>
      <w:r>
        <w:t>2 Yêu cầu chức năng</w:t>
      </w:r>
    </w:p>
    <w:p>
      <w:pPr>
        <w:pStyle w:val="Heading2"/>
      </w:pPr>
      <w:r>
        <w:t>2.1 Tài khoản và hồ sơ</w:t>
      </w:r>
    </w:p>
    <w:p>
      <w:pPr>
        <w:pStyle w:val="Heading3"/>
      </w:pPr>
      <w:r>
        <w:t>2.1.1 Xác thực và phân quyền</w:t>
      </w:r>
    </w:p>
    <w:p>
      <w:r>
        <w:t>FR01 — Hệ thống cho phép đăng ký, đăng nhập, khôi phục tài khoản và đăng xuất. Người dùng chỉ được sửa hồ sơ của mình. Vận hành được xem tài liệu theo nhiệm vụ được giao; người mua khác không được xem giấy tờ định danh riêng tư.</w:t>
      </w:r>
    </w:p>
    <w:p>
      <w:pPr>
        <w:pStyle w:val="Heading3"/>
      </w:pPr>
      <w:r>
        <w:t>2.1.2 Tạo và duyệt bất động sản</w:t>
      </w:r>
    </w:p>
    <w:p>
      <w:r>
        <w:t>FR02 — Chủ tài sản nhập mã, loại tài sản, địa chỉ, diện tích, thông tin mô tả, giá khởi điểm và tài liệu liên quan. Hồ sơ đi qua các trạng thái Nháp, Chờ duyệt, Đã duyệt hoặc Từ chối. Khi từ chối, vận hành phải nhập lý do. Mọi sửa đổi quan trọng tạo phiên bản và cần duyệt lại trước khi mở phiên.</w:t>
      </w:r>
    </w:p>
    <w:p>
      <w:pPr>
        <w:pStyle w:val="Heading2"/>
      </w:pPr>
      <w:r>
        <w:t>2.2 Tìm kiếm và tham gia phiên</w:t>
      </w:r>
    </w:p>
    <w:p>
      <w:pPr>
        <w:pStyle w:val="Heading3"/>
      </w:pPr>
      <w:r>
        <w:t>2.2.1 Tìm và xem tài sản</w:t>
      </w:r>
    </w:p>
    <w:p>
      <w:r>
        <w:t>FR03 — Người dùng tìm theo từ khóa và lọc loại tài sản, khu vực, diện tích, khoảng giá và trạng thái phiên. Trang chi tiết hiển thị đơn vị tiền VND, giờ kết thúc, bước giá và điều kiện tham gia. Kết quả tải theo trang, tối đa 20 hồ sơ mỗi trang.</w:t>
      </w:r>
    </w:p>
    <w:p>
      <w:pPr>
        <w:pStyle w:val="Heading3"/>
      </w:pPr>
      <w:r>
        <w:t>2.2.2 Đăng ký và tiền đặt trước</w:t>
      </w:r>
    </w:p>
    <w:p>
      <w:r>
        <w:t>FR04 — Người mua đăng ký trước hạn. Vận hành kiểm tra điều kiện và xác nhận trạng thái tiền đặt trước theo quy trình đã thống nhất. Chỉ người có trạng thái Đủ điều kiện mới được trả giá. Chủ tài sản không được trả giá tài sản của chính mình.</w:t>
      </w:r>
    </w:p>
    <w:p>
      <w:pPr>
        <w:pStyle w:val="Heading2"/>
      </w:pPr>
      <w:r>
        <w:t>2.3 Quản lý phiên</w:t>
      </w:r>
    </w:p>
    <w:p>
      <w:r>
        <w:t>FR05 — Vận hành cấu hình thời điểm bắt đầu, thời điểm kết thúc, giá khởi điểm và bước giá trước khi công bố. Thời điểm kết thúc phải sau bắt đầu, giá khởi điểm và bước giá phải dương. Sau khi mở phiên, không sửa các thông số này bằng giao diện thông thường.</w:t>
      </w:r>
    </w:p>
    <w:p>
      <w:r>
        <w:t>FR06 — Trạng thái phiên gồm Nháp, Đã công bố, Đang diễn ra, Đã kết thúc, Chờ đối soát, Hoàn tất và Đã hủy. Chỉ vai trò có quyền mới chuyển trạng thái. Hủy phiên yêu cầu lý do, người phê duyệt và thông báo tới người tham gia.</w:t>
      </w:r>
    </w:p>
    <w:p>
      <w:r>
        <w:t>FR07 — Hệ thống gửi thông báo khi duyệt đăng ký, nhận giá hợp lệ, có giá mới, kết thúc hoặc hủy phiên. Thông báo lỗi không làm mất lệnh đặt giá đã được máy chủ ghi nhận.</w:t>
      </w:r>
    </w:p>
    <w:p>
      <w:pPr>
        <w:pStyle w:val="Heading1"/>
        <w:pageBreakBefore/>
      </w:pPr>
      <w:r>
        <w:t>3 Quy tắc đặt giá và chốt phiên</w:t>
      </w:r>
    </w:p>
    <w:p>
      <w:pPr>
        <w:pStyle w:val="Heading2"/>
      </w:pPr>
      <w:r>
        <w:t>3.1 Điều kiện chấp nhận giá</w:t>
      </w:r>
    </w:p>
    <w:p>
      <w:pPr>
        <w:pStyle w:val="Heading3"/>
      </w:pPr>
      <w:r>
        <w:t>3.1.1 Giá và thời gian</w:t>
      </w:r>
    </w:p>
    <w:p>
      <w:r>
        <w:t>BR01 — Một lệnh hợp lệ phải thuộc người đủ điều kiện, phiên Đang diễn ra và có thời điểm xử lý tại máy chủ nằm trong khoảng bắt đầu ≤ thời điểm &lt; kết thúc. Đồng hồ trình duyệt chỉ hỗ trợ hiển thị. Lệnh đến đúng thời điểm kết thúc bị từ chối.</w:t>
      </w:r>
    </w:p>
    <w:p>
      <w:r>
        <w:t>BR02 — Giá đầu tiên phải lớn hơn hoặc bằng giá khởi điểm và chênh lệch với giá khởi điểm phải là bội số nguyên của bước giá. Các giá sau phải ít nhất bằng giá cao nhất hiện tại cộng bước giá và tiếp tục theo cùng lưới bước giá. Tiền được lưu bằng số nguyên VND.</w:t>
      </w:r>
    </w:p>
    <w:p>
      <w:pPr>
        <w:pStyle w:val="Heading3"/>
      </w:pPr>
      <w:r>
        <w:t>3.1.2 Hai lệnh đồng thời</w:t>
      </w:r>
    </w:p>
    <w:p>
      <w:r>
        <w:t>BR03 — Máy chủ khóa bản ghi phiên hoặc dùng cơ chế cập nhật có điều kiện trong giao dịch cơ sở dữ liệu. Việc đọc giá hiện tại, kiểm tra thời gian và ghi giá mới phải diễn ra nguyên tử. Hai lệnh cùng mức giá chỉ có tối đa một lệnh được chấp nhận. Lệnh xử lý sau phải được kiểm tra lại theo giá đã cập nhật.</w:t>
      </w:r>
    </w:p>
    <w:p>
      <w:r>
        <w:t>BR04 — Mỗi lệnh có request_id duy nhất. Gửi lại cùng request_id và cùng nội dung phải trả lại kết quả cũ, không ghi thêm lượt đặt giá. Nếu cùng request_id nhưng nội dung khác, hệ thống từ chối và lưu lý do.</w:t>
      </w:r>
    </w:p>
    <w:p>
      <w:pPr>
        <w:pStyle w:val="Heading2"/>
      </w:pPr>
      <w:r>
        <w:t>3.2 Ví dụ và trường hợp ngoại lệ</w:t>
      </w:r>
    </w:p>
    <w:tbl>
      <w:tblPr>
        <w:tblW w:type="auto" w:w="0"/>
        <w:tblLayout w:type="fixed"/>
        <w:tblLook w:firstColumn="1" w:firstRow="1" w:lastColumn="0" w:lastRow="0" w:noHBand="0" w:noVBand="1" w:val="04A0"/>
      </w:tblPr>
      <w:tblGrid>
        <w:gridCol w:w="4752"/>
        <w:gridCol w:w="5040"/>
      </w:tblGrid>
      <w:tr>
        <w:trPr>
          <w:tblHeader/>
        </w:trPr>
        <w:tc>
          <w:tcPr>
            <w:tcW w:type="dxa" w:w="4752"/>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Tình huống giả định</w:t>
            </w:r>
          </w:p>
        </w:tc>
        <w:tc>
          <w:tcPr>
            <w:tcW w:type="dxa" w:w="5040"/>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Kết quả mong đợi</w:t>
            </w:r>
          </w:p>
        </w:tc>
      </w:tr>
      <w:tr>
        <w:tc>
          <w:tcPr>
            <w:tcW w:type="dxa" w:w="475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Khởi điểm 2 tỷ, bước 10 triệu, giá đầu 2 tỷ</w:t>
            </w:r>
          </w:p>
        </w:tc>
        <w:tc>
          <w:tcPr>
            <w:tcW w:type="dxa" w:w="504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Chấp nhận nếu các điều kiện khác hợp lệ</w:t>
            </w:r>
          </w:p>
        </w:tc>
      </w:tr>
      <w:tr>
        <w:tc>
          <w:tcPr>
            <w:tcW w:type="dxa" w:w="475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Giá hiện tại 2 tỷ, trả 2,005 tỷ</w:t>
            </w:r>
          </w:p>
        </w:tc>
        <w:tc>
          <w:tcPr>
            <w:tcW w:type="dxa" w:w="504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Từ chối vì chưa đủ bước giá</w:t>
            </w:r>
          </w:p>
        </w:tc>
      </w:tr>
      <w:tr>
        <w:tc>
          <w:tcPr>
            <w:tcW w:type="dxa" w:w="475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Hai người cùng trả 2,01 tỷ</w:t>
            </w:r>
          </w:p>
        </w:tc>
        <w:tc>
          <w:tcPr>
            <w:tcW w:type="dxa" w:w="504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Một người được chấp nhận, người còn lại nhận giá mới</w:t>
            </w:r>
          </w:p>
        </w:tc>
      </w:tr>
      <w:tr>
        <w:tc>
          <w:tcPr>
            <w:tcW w:type="dxa" w:w="475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Mất mạng sau khi gửi, gửi lại cùng request_id</w:t>
            </w:r>
          </w:p>
        </w:tc>
        <w:tc>
          <w:tcPr>
            <w:tcW w:type="dxa" w:w="504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Trả kết quả cũ nếu lệnh đã được ghi nhận</w:t>
            </w:r>
          </w:p>
        </w:tc>
      </w:tr>
      <w:tr>
        <w:tc>
          <w:tcPr>
            <w:tcW w:type="dxa" w:w="475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Không có giá hợp lệ khi hết phiên</w:t>
            </w:r>
          </w:p>
        </w:tc>
        <w:tc>
          <w:tcPr>
            <w:tcW w:type="dxa" w:w="504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Kết thúc không có người trúng</w:t>
            </w:r>
          </w:p>
        </w:tc>
      </w:tr>
    </w:tbl>
    <w:p/>
    <w:p>
      <w:pPr>
        <w:pStyle w:val="Heading2"/>
      </w:pPr>
      <w:r>
        <w:t>3.3 Kết thúc phiên</w:t>
      </w:r>
    </w:p>
    <w:p>
      <w:r>
        <w:t>BR05 — Tác vụ chốt phiên kiểm tra lại thời gian và trạng thái dưới cùng cơ chế khóa với lệnh đặt giá. Người có giá hợp lệ cao nhất là kết quả tạm thời. Lưu giá, người tham gia, thời gian và phiên bản quy tắc. Chạy lại tác vụ không tạo kết quả hoặc khoản phải thu trùng.</w:t>
      </w:r>
    </w:p>
    <w:p>
      <w:r>
        <w:t>BR06 — MVP không tự gia hạn cuối phiên. Khi có sự cố nghiêm trọng, vận hành theo quy trình tạm dừng hoặc hủy đã công bố, ghi lý do và thông báo. Không âm thầm sửa lịch sử hoặc giá đã chấp nhận.</w:t>
      </w:r>
    </w:p>
    <w:p>
      <w:pPr>
        <w:pStyle w:val="Heading1"/>
        <w:pageBreakBefore/>
      </w:pPr>
      <w:r>
        <w:t>4 Giao dịch và yêu cầu chất lượng</w:t>
      </w:r>
    </w:p>
    <w:p>
      <w:pPr>
        <w:pStyle w:val="Heading2"/>
      </w:pPr>
      <w:r>
        <w:t>4.1 Đối soát và giá trị giao dịch</w:t>
      </w:r>
    </w:p>
    <w:p>
      <w:pPr>
        <w:pStyle w:val="Heading3"/>
      </w:pPr>
      <w:r>
        <w:t>4.1.1 Điều kiện hoàn tất</w:t>
      </w:r>
    </w:p>
    <w:p>
      <w:r>
        <w:t>FR08 — Sau phiên, vận hành kiểm tra điều kiện kết quả, nghĩa vụ thanh toán và chứng từ cần thiết. Hệ thống chỉ chuyển sang Hoàn tất khi các bước được xác nhận. Tranh chấp chuyển sang trạng thái xử lý riêng và lưu người phụ trách. Hoàn hoặc xử lý tiền đặt trước tuân theo điều khoản đã thống nhất, không suy diễn từ file Excel.</w:t>
      </w:r>
    </w:p>
    <w:p>
      <w:pPr>
        <w:pStyle w:val="Heading3"/>
      </w:pPr>
      <w:r>
        <w:t>4.1.2 Giá và hoa hồng</w:t>
      </w:r>
    </w:p>
    <w:p>
      <w:r>
        <w:t>BR07 — Excel tính giá đề xuất sau chiết khấu cho danh mục. Giá trúng phiên dùng giá đặt hợp lệ cao nhất, không tự trừ chiết khấu trong Excel. Hoa hồng thực thu sau phiên phải dựa trên giá trị hợp đồng và thỏa thuận môi giới được phê duyệt.</w:t>
      </w:r>
    </w:p>
    <w:p>
      <w:r>
        <w:t>BR08 — Trong bài tập Excel, hoa hồng bán bằng giá bán sau chiết khấu nhân tỷ lệ. Hoa hồng thuê bằng tổng tiền thuê sau chiết khấu của cả hợp đồng nhân tỷ lệ. Không trộn phí nền tảng 0,25% trong Pitch Deck với tỷ lệ môi giới của Excel.</w:t>
      </w:r>
    </w:p>
    <w:p>
      <w:pPr>
        <w:pStyle w:val="Heading2"/>
      </w:pPr>
      <w:r>
        <w:t>4.2 Yêu cầu phi chức năng</w:t>
      </w:r>
    </w:p>
    <w:tbl>
      <w:tblPr>
        <w:tblW w:type="auto" w:w="0"/>
        <w:tblLayout w:type="fixed"/>
        <w:tblLook w:firstColumn="1" w:firstRow="1" w:lastColumn="0" w:lastRow="0" w:noHBand="0" w:noVBand="1" w:val="04A0"/>
      </w:tblPr>
      <w:tblGrid>
        <w:gridCol w:w="1152"/>
        <w:gridCol w:w="8640"/>
      </w:tblGrid>
      <w:tr>
        <w:trPr>
          <w:tblHeader/>
        </w:trPr>
        <w:tc>
          <w:tcPr>
            <w:tcW w:type="dxa" w:w="1152"/>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Mã</w:t>
            </w:r>
          </w:p>
        </w:tc>
        <w:tc>
          <w:tcPr>
            <w:tcW w:type="dxa" w:w="8640"/>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Yêu cầu đề xuất và cách đo</w:t>
            </w:r>
          </w:p>
        </w:tc>
      </w:tr>
      <w:tr>
        <w:tc>
          <w:tcPr>
            <w:tcW w:type="dxa" w:w="115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NFR01</w:t>
            </w:r>
          </w:p>
        </w:tc>
        <w:tc>
          <w:tcPr>
            <w:tcW w:type="dxa" w:w="864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Mã hóa đường truyền bằng TLS. Phân quyền ở máy chủ. Mật khẩu được băm bằng thuật toán chuyên dụng. Tài khoản quản trị dùng MFA.</w:t>
            </w:r>
          </w:p>
        </w:tc>
      </w:tr>
      <w:tr>
        <w:tc>
          <w:tcPr>
            <w:tcW w:type="dxa" w:w="115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NFR02</w:t>
            </w:r>
          </w:p>
        </w:tc>
        <w:tc>
          <w:tcPr>
            <w:tcW w:type="dxa" w:w="864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Với 100 người tham gia và 10 yêu cầu đặt giá mỗi giây trong 5 phút, p95 phản hồi API ≤ 2 giây. Đo trong môi trường kiểm thử đã ghi cấu hình.</w:t>
            </w:r>
          </w:p>
        </w:tc>
      </w:tr>
      <w:tr>
        <w:tc>
          <w:tcPr>
            <w:tcW w:type="dxa" w:w="115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NFR03</w:t>
            </w:r>
          </w:p>
        </w:tc>
        <w:tc>
          <w:tcPr>
            <w:tcW w:type="dxa" w:w="864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Không ghi trùng request_id, không có hai kết quả thắng cùng phiên. Kiểm bằng thử tải đồng thời và đối chiếu cơ sở dữ liệu.</w:t>
            </w:r>
          </w:p>
        </w:tc>
      </w:tr>
      <w:tr>
        <w:tc>
          <w:tcPr>
            <w:tcW w:type="dxa" w:w="115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NFR04</w:t>
            </w:r>
          </w:p>
        </w:tc>
        <w:tc>
          <w:tcPr>
            <w:tcW w:type="dxa" w:w="864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Nhật ký gồm ai, hành động, thời điểm, kết quả và mã yêu cầu. Chỉ người có quyền xem, không cho sửa qua giao diện nghiệp vụ.</w:t>
            </w:r>
          </w:p>
        </w:tc>
      </w:tr>
      <w:tr>
        <w:tc>
          <w:tcPr>
            <w:tcW w:type="dxa" w:w="115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NFR05</w:t>
            </w:r>
          </w:p>
        </w:tc>
        <w:tc>
          <w:tcPr>
            <w:tcW w:type="dxa" w:w="864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Mục tiêu phục hồi: RPO ≤ 15 phút, RTO ≤ 4 giờ. Phải thử khôi phục từ bản sao lưu và ghi nhận thời gian thực tế.</w:t>
            </w:r>
          </w:p>
        </w:tc>
      </w:tr>
      <w:tr>
        <w:tc>
          <w:tcPr>
            <w:tcW w:type="dxa" w:w="115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NFR06</w:t>
            </w:r>
          </w:p>
        </w:tc>
        <w:tc>
          <w:tcPr>
            <w:tcW w:type="dxa" w:w="864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Giao diện dùng được trên màn hình rộng 360 px, thao tác chính bằng bàn phím, lỗi nhập liệu có thông báo rõ.</w:t>
            </w:r>
          </w:p>
        </w:tc>
      </w:tr>
      <w:tr>
        <w:tc>
          <w:tcPr>
            <w:tcW w:type="dxa" w:w="115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NFR07</w:t>
            </w:r>
          </w:p>
        </w:tc>
        <w:tc>
          <w:tcPr>
            <w:tcW w:type="dxa" w:w="864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Dữ liệu định danh tách khỏi thông tin công khai. Có danh mục dữ liệu, quyền truy cập, lịch lưu giữ và quy trình xử lý yêu cầu dữ liệu. Thời hạn lưu phải được đối tác chốt trước pilot.</w:t>
            </w:r>
          </w:p>
        </w:tc>
      </w:tr>
    </w:tbl>
    <w:p/>
    <w:p>
      <w:r>
        <w:t>Các ngưỡng trên là tiêu chí nghiệm thu dự kiến. Nếu đo không đạt, nhóm phải sửa hoặc thương lượng lại phạm vi trước khi công bố năng lực vận hành.</w:t>
      </w:r>
    </w:p>
    <w:p>
      <w:pPr>
        <w:pStyle w:val="Heading1"/>
        <w:pageBreakBefore/>
      </w:pPr>
      <w:r>
        <w:t>5 Dữ liệu và kịch bản sử dụng</w:t>
      </w:r>
    </w:p>
    <w:p>
      <w:pPr>
        <w:pStyle w:val="Heading2"/>
      </w:pPr>
      <w:r>
        <w:t>5.1 Mô hình dữ liệu tối thiểu</w:t>
      </w:r>
    </w:p>
    <w:tbl>
      <w:tblPr>
        <w:tblW w:type="auto" w:w="0"/>
        <w:tblLayout w:type="fixed"/>
        <w:tblLook w:firstColumn="1" w:firstRow="1" w:lastColumn="0" w:lastRow="0" w:noHBand="0" w:noVBand="1" w:val="04A0"/>
      </w:tblPr>
      <w:tblGrid>
        <w:gridCol w:w="1800"/>
        <w:gridCol w:w="7992"/>
      </w:tblGrid>
      <w:tr>
        <w:trPr>
          <w:tblHeader/>
        </w:trPr>
        <w:tc>
          <w:tcPr>
            <w:tcW w:type="dxa" w:w="1800"/>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Thực thể</w:t>
            </w:r>
          </w:p>
        </w:tc>
        <w:tc>
          <w:tcPr>
            <w:tcW w:type="dxa" w:w="7992"/>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Trường chính và ràng buộc</w:t>
            </w:r>
          </w:p>
        </w:tc>
      </w:tr>
      <w:tr>
        <w:tc>
          <w:tcPr>
            <w:tcW w:type="dxa" w:w="180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User</w:t>
            </w:r>
          </w:p>
        </w:tc>
        <w:tc>
          <w:tcPr>
            <w:tcW w:type="dxa" w:w="799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user_id duy nhất, vai trò, trạng thái và thông tin xác thực</w:t>
            </w:r>
          </w:p>
        </w:tc>
      </w:tr>
      <w:tr>
        <w:tc>
          <w:tcPr>
            <w:tcW w:type="dxa" w:w="180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Property</w:t>
            </w:r>
          </w:p>
        </w:tc>
        <w:tc>
          <w:tcPr>
            <w:tcW w:type="dxa" w:w="799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property_id duy nhất, owner_id, loại, địa chỉ, diện tích và trạng thái duyệt</w:t>
            </w:r>
          </w:p>
        </w:tc>
      </w:tr>
      <w:tr>
        <w:tc>
          <w:tcPr>
            <w:tcW w:type="dxa" w:w="180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Auction</w:t>
            </w:r>
          </w:p>
        </w:tc>
        <w:tc>
          <w:tcPr>
            <w:tcW w:type="dxa" w:w="799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auction_id, property_id, giờ bắt đầu và kết thúc, giá khởi điểm, bước giá, trạng thái</w:t>
            </w:r>
          </w:p>
        </w:tc>
      </w:tr>
      <w:tr>
        <w:tc>
          <w:tcPr>
            <w:tcW w:type="dxa" w:w="180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Enrollment</w:t>
            </w:r>
          </w:p>
        </w:tc>
        <w:tc>
          <w:tcPr>
            <w:tcW w:type="dxa" w:w="799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auction_id và user_id tạo khóa duy nhất, trạng thái xác minh và tiền đặt trước</w:t>
            </w:r>
          </w:p>
        </w:tc>
      </w:tr>
      <w:tr>
        <w:tc>
          <w:tcPr>
            <w:tcW w:type="dxa" w:w="180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Bid</w:t>
            </w:r>
          </w:p>
        </w:tc>
        <w:tc>
          <w:tcPr>
            <w:tcW w:type="dxa" w:w="799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bid_id, auction_id, user_id, amount_vnd, server_time, request_id duy nhất và kết quả</w:t>
            </w:r>
          </w:p>
        </w:tc>
      </w:tr>
      <w:tr>
        <w:tc>
          <w:tcPr>
            <w:tcW w:type="dxa" w:w="1800"/>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Settlement</w:t>
            </w:r>
          </w:p>
        </w:tc>
        <w:tc>
          <w:tcPr>
            <w:tcW w:type="dxa" w:w="799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auction_id duy nhất, giá kết quả, người trúng tạm thời, nghĩa vụ và trạng thái đối soát</w:t>
            </w:r>
          </w:p>
        </w:tc>
      </w:tr>
      <w:tr>
        <w:tc>
          <w:tcPr>
            <w:tcW w:type="dxa" w:w="1800"/>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AuditLog</w:t>
            </w:r>
          </w:p>
        </w:tc>
        <w:tc>
          <w:tcPr>
            <w:tcW w:type="dxa" w:w="799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actor_id, action, object_id, server_time, request_id, kết quả và lý do</w:t>
            </w:r>
          </w:p>
        </w:tc>
      </w:tr>
    </w:tbl>
    <w:p/>
    <w:p>
      <w:r>
        <w:t>Một tài sản có thể có nhiều phiên qua thời gian nhưng chỉ có tối đa một phiên đang diễn ra. Bid phải tham chiếu Auction và User có thật. Không xóa vật lý bản ghi đặt giá đã chấp nhận trong luồng nghiệp vụ.</w:t>
      </w:r>
    </w:p>
    <w:p>
      <w:pPr>
        <w:pStyle w:val="Heading2"/>
      </w:pPr>
      <w:r>
        <w:t>5.2 Kịch bản đặt giá</w:t>
      </w:r>
    </w:p>
    <w:p>
      <w:pPr>
        <w:pStyle w:val="Heading3"/>
      </w:pPr>
      <w:r>
        <w:t>5.2.1 Luồng chính</w:t>
      </w:r>
    </w:p>
    <w:p>
      <w:r>
        <w:t>UC01 — Người mua mở phiên đang diễn ra. Hệ thống hiển thị giá hiện tại. Người mua nhập giá và xác nhận. Máy chủ kiểm tra quyền, thời gian và bước giá rồi ghi giao dịch nguyên tử. Kết quả trả về có request_id, giá chấp nhận và thời gian máy chủ. Giao diện cập nhật giá mới cho người tham gia.</w:t>
      </w:r>
    </w:p>
    <w:p>
      <w:pPr>
        <w:pStyle w:val="Heading3"/>
      </w:pPr>
      <w:r>
        <w:t>5.2.2 Luồng thay thế</w:t>
      </w:r>
    </w:p>
    <w:p>
      <w:r>
        <w:t>Khi giá đã đổi, máy chủ từ chối giá cũ và trả mức mới để người dùng quyết định lại. Khi chưa đủ điều kiện, trả thông báo cụ thể. Khi mạng lỗi hoặc hết thời gian chờ, giao diện tra trạng thái theo request_id trước khi tạo lệnh mới. Không báo thành công chỉ vì người dùng đã bấm nút.</w:t>
      </w:r>
    </w:p>
    <w:p>
      <w:pPr>
        <w:pStyle w:val="Heading2"/>
      </w:pPr>
      <w:r>
        <w:t>5.3 Giao diện và tích hợp</w:t>
      </w:r>
    </w:p>
    <w:p>
      <w:r>
        <w:t>Màn hình chính gồm danh mục, chi tiết tài sản, phiên đang diễn ra, lịch sử của tôi và khu vực vận hành. API tiếp nhận giá cần phiên, số tiền và request_id; danh tính lấy từ phiên đăng nhập. Tích hợp thông báo và đối soát tiền phải có cơ chế thử lại, chống xử lý lặp và ghi nhận thất bại để vận hành theo dõi.</w:t>
      </w:r>
    </w:p>
    <w:p>
      <w:pPr>
        <w:pStyle w:val="Heading1"/>
        <w:pageBreakBefore/>
      </w:pPr>
      <w:r>
        <w:t>6 Tiêu chí nghiệm thu và bàn giao</w:t>
      </w:r>
    </w:p>
    <w:p>
      <w:pPr>
        <w:pStyle w:val="Heading2"/>
      </w:pPr>
      <w:r>
        <w:t>6.1 Kiểm thử chức năng cốt lõi</w:t>
      </w:r>
    </w:p>
    <w:tbl>
      <w:tblPr>
        <w:tblW w:type="auto" w:w="0"/>
        <w:tblLayout w:type="fixed"/>
        <w:tblLook w:firstColumn="1" w:firstRow="1" w:lastColumn="0" w:lastRow="0" w:noHBand="0" w:noVBand="1" w:val="04A0"/>
      </w:tblPr>
      <w:tblGrid>
        <w:gridCol w:w="936"/>
        <w:gridCol w:w="4392"/>
        <w:gridCol w:w="4464"/>
      </w:tblGrid>
      <w:tr>
        <w:trPr>
          <w:tblHeader/>
        </w:trPr>
        <w:tc>
          <w:tcPr>
            <w:tcW w:type="dxa" w:w="936"/>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Mã</w:t>
            </w:r>
          </w:p>
        </w:tc>
        <w:tc>
          <w:tcPr>
            <w:tcW w:type="dxa" w:w="4392"/>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Thao tác kiểm thử</w:t>
            </w:r>
          </w:p>
        </w:tc>
        <w:tc>
          <w:tcPr>
            <w:tcW w:type="dxa" w:w="4464"/>
            <w:vAlign w:val="center"/>
            <w:tcBorders>
              <w:top w:val="single" w:sz="4" w:color="D9D9D9"/>
              <w:left w:val="single" w:sz="4" w:color="D9D9D9"/>
              <w:bottom w:val="single" w:sz="4" w:color="D9D9D9"/>
              <w:right w:val="single" w:sz="4" w:color="D9D9D9"/>
            </w:tcBorders>
            <w:shd w:fill="16324F"/>
          </w:tcPr>
          <w:p>
            <w:pPr>
              <w:spacing w:after="80" w:before="80" w:line="252" w:lineRule="auto"/>
            </w:pPr>
            <w:r>
              <w:rPr>
                <w:b/>
                <w:color w:val="FFFFFF"/>
                <w:sz w:val="20"/>
              </w:rPr>
              <w:t>Kết quả cần đạt</w:t>
            </w:r>
          </w:p>
        </w:tc>
      </w:tr>
      <w:tr>
        <w:tc>
          <w:tcPr>
            <w:tcW w:type="dxa" w:w="936"/>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TC01</w:t>
            </w:r>
          </w:p>
        </w:tc>
        <w:tc>
          <w:tcPr>
            <w:tcW w:type="dxa" w:w="439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Người dùng sửa hồ sơ của người khác</w:t>
            </w:r>
          </w:p>
        </w:tc>
        <w:tc>
          <w:tcPr>
            <w:tcW w:type="dxa" w:w="4464"/>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Máy chủ từ chối, không đổi dữ liệu</w:t>
            </w:r>
          </w:p>
        </w:tc>
      </w:tr>
      <w:tr>
        <w:tc>
          <w:tcPr>
            <w:tcW w:type="dxa" w:w="936"/>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TC02</w:t>
            </w:r>
          </w:p>
        </w:tc>
        <w:tc>
          <w:tcPr>
            <w:tcW w:type="dxa" w:w="439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Đăng ký hợp lệ nhưng chưa xác nhận tiền</w:t>
            </w:r>
          </w:p>
        </w:tc>
        <w:tc>
          <w:tcPr>
            <w:tcW w:type="dxa" w:w="4464"/>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Không được trả giá</w:t>
            </w:r>
          </w:p>
        </w:tc>
      </w:tr>
      <w:tr>
        <w:tc>
          <w:tcPr>
            <w:tcW w:type="dxa" w:w="936"/>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TC03</w:t>
            </w:r>
          </w:p>
        </w:tc>
        <w:tc>
          <w:tcPr>
            <w:tcW w:type="dxa" w:w="439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Trả giá nhỏ hơn giá hiện tại cộng bước</w:t>
            </w:r>
          </w:p>
        </w:tc>
        <w:tc>
          <w:tcPr>
            <w:tcW w:type="dxa" w:w="4464"/>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Từ chối và giữ nguyên mức giá</w:t>
            </w:r>
          </w:p>
        </w:tc>
      </w:tr>
      <w:tr>
        <w:tc>
          <w:tcPr>
            <w:tcW w:type="dxa" w:w="936"/>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TC04</w:t>
            </w:r>
          </w:p>
        </w:tc>
        <w:tc>
          <w:tcPr>
            <w:tcW w:type="dxa" w:w="439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Gửi hai lệnh cùng mức giá đồng thời</w:t>
            </w:r>
          </w:p>
        </w:tc>
        <w:tc>
          <w:tcPr>
            <w:tcW w:type="dxa" w:w="4464"/>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Tối đa một lệnh được chấp nhận</w:t>
            </w:r>
          </w:p>
        </w:tc>
      </w:tr>
      <w:tr>
        <w:tc>
          <w:tcPr>
            <w:tcW w:type="dxa" w:w="936"/>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TC05</w:t>
            </w:r>
          </w:p>
        </w:tc>
        <w:tc>
          <w:tcPr>
            <w:tcW w:type="dxa" w:w="439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Gửi lại cùng request_id</w:t>
            </w:r>
          </w:p>
        </w:tc>
        <w:tc>
          <w:tcPr>
            <w:tcW w:type="dxa" w:w="4464"/>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Một bản ghi nghiệp vụ, cùng kết quả</w:t>
            </w:r>
          </w:p>
        </w:tc>
      </w:tr>
      <w:tr>
        <w:tc>
          <w:tcPr>
            <w:tcW w:type="dxa" w:w="936"/>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TC06</w:t>
            </w:r>
          </w:p>
        </w:tc>
        <w:tc>
          <w:tcPr>
            <w:tcW w:type="dxa" w:w="439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Đặt giá ngay tại mốc kết thúc</w:t>
            </w:r>
          </w:p>
        </w:tc>
        <w:tc>
          <w:tcPr>
            <w:tcW w:type="dxa" w:w="4464"/>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Từ chối theo giờ máy chủ</w:t>
            </w:r>
          </w:p>
        </w:tc>
      </w:tr>
      <w:tr>
        <w:tc>
          <w:tcPr>
            <w:tcW w:type="dxa" w:w="936"/>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TC07</w:t>
            </w:r>
          </w:p>
        </w:tc>
        <w:tc>
          <w:tcPr>
            <w:tcW w:type="dxa" w:w="439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Chạy tác vụ chốt phiên hai lần</w:t>
            </w:r>
          </w:p>
        </w:tc>
        <w:tc>
          <w:tcPr>
            <w:tcW w:type="dxa" w:w="4464"/>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Một kết quả và một bộ nghĩa vụ</w:t>
            </w:r>
          </w:p>
        </w:tc>
      </w:tr>
      <w:tr>
        <w:tc>
          <w:tcPr>
            <w:tcW w:type="dxa" w:w="936"/>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TC08</w:t>
            </w:r>
          </w:p>
        </w:tc>
        <w:tc>
          <w:tcPr>
            <w:tcW w:type="dxa" w:w="439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Chốt phiên không có giá hợp lệ</w:t>
            </w:r>
          </w:p>
        </w:tc>
        <w:tc>
          <w:tcPr>
            <w:tcW w:type="dxa" w:w="4464"/>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Không có người trúng tạm thời</w:t>
            </w:r>
          </w:p>
        </w:tc>
      </w:tr>
      <w:tr>
        <w:tc>
          <w:tcPr>
            <w:tcW w:type="dxa" w:w="936"/>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TC09</w:t>
            </w:r>
          </w:p>
        </w:tc>
        <w:tc>
          <w:tcPr>
            <w:tcW w:type="dxa" w:w="4392"/>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Người mua mở giấy tờ riêng của người khác</w:t>
            </w:r>
          </w:p>
        </w:tc>
        <w:tc>
          <w:tcPr>
            <w:tcW w:type="dxa" w:w="4464"/>
            <w:vAlign w:val="center"/>
            <w:tcBorders>
              <w:top w:val="single" w:sz="4" w:color="D9D9D9"/>
              <w:left w:val="single" w:sz="4" w:color="D9D9D9"/>
              <w:bottom w:val="single" w:sz="4" w:color="D9D9D9"/>
              <w:right w:val="single" w:sz="4" w:color="D9D9D9"/>
            </w:tcBorders>
            <w:shd w:fill="FFFFFF"/>
          </w:tcPr>
          <w:p>
            <w:pPr>
              <w:spacing w:after="80" w:before="80" w:line="252" w:lineRule="auto"/>
            </w:pPr>
            <w:r>
              <w:rPr>
                <w:b w:val="0"/>
                <w:sz w:val="20"/>
              </w:rPr>
              <w:t>Từ chối và ghi sự kiện truy cập</w:t>
            </w:r>
          </w:p>
        </w:tc>
      </w:tr>
      <w:tr>
        <w:tc>
          <w:tcPr>
            <w:tcW w:type="dxa" w:w="936"/>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TC10</w:t>
            </w:r>
          </w:p>
        </w:tc>
        <w:tc>
          <w:tcPr>
            <w:tcW w:type="dxa" w:w="4392"/>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Khôi phục bản sao lưu ở môi trường thử</w:t>
            </w:r>
          </w:p>
        </w:tc>
        <w:tc>
          <w:tcPr>
            <w:tcW w:type="dxa" w:w="4464"/>
            <w:vAlign w:val="center"/>
            <w:tcBorders>
              <w:top w:val="single" w:sz="4" w:color="D9D9D9"/>
              <w:left w:val="single" w:sz="4" w:color="D9D9D9"/>
              <w:bottom w:val="single" w:sz="4" w:color="D9D9D9"/>
              <w:right w:val="single" w:sz="4" w:color="D9D9D9"/>
            </w:tcBorders>
            <w:shd w:fill="EFF4F8"/>
          </w:tcPr>
          <w:p>
            <w:pPr>
              <w:spacing w:after="80" w:before="80" w:line="252" w:lineRule="auto"/>
            </w:pPr>
            <w:r>
              <w:rPr>
                <w:b w:val="0"/>
                <w:sz w:val="20"/>
              </w:rPr>
              <w:t>Dữ liệu nhất quán, đo RPO và RTO</w:t>
            </w:r>
          </w:p>
        </w:tc>
      </w:tr>
    </w:tbl>
    <w:p/>
    <w:p>
      <w:pPr>
        <w:pStyle w:val="Heading2"/>
      </w:pPr>
      <w:r>
        <w:t>6.2 Điều kiện bàn giao</w:t>
      </w:r>
    </w:p>
    <w:p>
      <w:r>
        <w:t>Đối tác xác nhận phạm vi, cách tính phí và các trạng thái nghiệp vụ. Nhóm phát triển cung cấp hướng dẫn vận hành, hồ sơ API, bộ kiểm thử và kết quả đo. Tất cả TC01 đến TC10 phải đạt trước pilot, đồng thời NFR phải có bằng chứng kiểm thử tương ứng. Tài liệu này mô tả yêu cầu; chưa có phần mềm chạy để nghiệm thu thực tế.</w:t>
      </w:r>
    </w:p>
    <w:p>
      <w:pPr>
        <w:pStyle w:val="Heading2"/>
      </w:pPr>
      <w:r>
        <w:t>6.3 Các quyết định cần chốt</w:t>
      </w:r>
    </w:p>
    <w:p>
      <w:r>
        <w:t>Chốt bên có trách nhiệm xác minh hồ sơ, tiêu chí tham gia, quy trình tiền đặt trước, điều kiện hủy và khiếu nại, thời hạn lưu dữ liệu và phạm vi giao dịch thật. Các nội dung này là đầu việc của giai đoạn chuẩn bị pilot, không được coi là đã được phê duyệt.</w:t>
      </w:r>
    </w:p>
    <w:p>
      <w:pPr>
        <w:pStyle w:val="Heading2"/>
      </w:pPr>
      <w:r>
        <w:t>6.4 Tệp học liệu đi kèm</w:t>
      </w:r>
    </w:p>
    <w:p>
      <w:r>
        <w:t>Smart_Home_Quan_Ly.xlsx có 20 bản ghi giả định, bảng tra hoa hồng và bài kiểm thử vùng tra cứu. Smart_Home_Pitch_Deck.pptx có 10 slide cùng ghi chú phân bổ 20 phút. Smart_Home_Huong_Dan.md giải thích Field và Record, công thức, bảng xấu và đúng, dấu $ cùng bài thực hành.</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Smart Home SRS 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SMART HOME   /   ĐẶC TẢ YÊU CẦU PHẦN MỀM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200"/>
      <w:contextualSpacing/>
    </w:pPr>
    <w:rPr>
      <w:rFonts w:asciiTheme="majorHAnsi" w:eastAsiaTheme="majorEastAsia" w:hAnsiTheme="majorHAnsi" w:cstheme="majorBidi" w:ascii="Arial" w:hAnsi="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