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CHUẨN HÓA ACCEPTANCE CRITERIA CHO CHỨC NĂNG ÁP MÃ KHUYẾN MÃI</w:t>
      </w:r>
    </w:p>
    <w:p>
      <w:pPr>
        <w:pStyle w:val="Heading1"/>
      </w:pPr>
      <w:r>
        <w:t>Phần 1 - Phân tích 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Acceptance Criteria</w:t>
            </w:r>
          </w:p>
        </w:tc>
        <w:tc>
          <w:tcPr>
            <w:tcW w:type="dxa" w:w="2160"/>
          </w:tcPr>
          <w:p>
            <w:r>
              <w:t>Đúng/Sai</w:t>
            </w:r>
          </w:p>
        </w:tc>
        <w:tc>
          <w:tcPr>
            <w:tcW w:type="dxa" w:w="2160"/>
          </w:tcPr>
          <w:p>
            <w:r>
              <w:t>Quy tắc bị vi phạm</w:t>
            </w:r>
          </w:p>
        </w:tc>
        <w:tc>
          <w:tcPr>
            <w:tcW w:type="dxa" w:w="2160"/>
          </w:tcPr>
          <w:p>
            <w:r>
              <w:t>Hậu quả khi kiểm thử</w:t>
            </w:r>
          </w:p>
        </w:tc>
      </w:tr>
      <w:tr>
        <w:tc>
          <w:tcPr>
            <w:tcW w:type="dxa" w:w="2160"/>
          </w:tcPr>
          <w:p>
            <w:r>
              <w:t>AC1. Given cước chuyến là 100.000đ và khách chưa áp mã nào, When khách áp mã "GO20" (giảm 20%), Then cước hiển thị 80.000đ.</w:t>
            </w:r>
          </w:p>
        </w:tc>
        <w:tc>
          <w:tcPr>
            <w:tcW w:type="dxa" w:w="2160"/>
          </w:tcPr>
          <w:p>
            <w:r>
              <w:t>Đúng</w:t>
            </w:r>
          </w:p>
        </w:tc>
        <w:tc>
          <w:tcPr>
            <w:tcW w:type="dxa" w:w="2160"/>
          </w:tcPr>
          <w:p>
            <w:r>
              <w:t>Không vi phạm. (Đáp ứng đủ tiêu chí: Given mô tả trạng thái có sẵn, When là 1 hành động duy nhất, Then cho kết quả con số cụ thể).</w:t>
            </w:r>
          </w:p>
        </w:tc>
        <w:tc>
          <w:tcPr>
            <w:tcW w:type="dxa" w:w="2160"/>
          </w:tcPr>
          <w:p>
            <w:r>
              <w:t>Không có. Kịch bản rõ ràng, Tester có thể chuyển thành test case ngay mà không phải đoán.</w:t>
            </w:r>
          </w:p>
        </w:tc>
      </w:tr>
      <w:tr>
        <w:tc>
          <w:tcPr>
            <w:tcW w:type="dxa" w:w="2160"/>
          </w:tcPr>
          <w:p>
            <w:r>
              <w:t>AC2. Given mã "GO20" đã hết hạn, When khách áp mã "GO20" và bấm "Đặt xe", Then hệ thống xử lý phù hợp.</w:t>
            </w:r>
          </w:p>
        </w:tc>
        <w:tc>
          <w:tcPr>
            <w:tcW w:type="dxa" w:w="2160"/>
          </w:tcPr>
          <w:p>
            <w:r>
              <w:t>Sai</w:t>
            </w:r>
          </w:p>
        </w:tc>
        <w:tc>
          <w:tcPr>
            <w:tcW w:type="dxa" w:w="2160"/>
          </w:tcPr>
          <w:p>
            <w:r>
              <w:t>- Vi phạm quy tắc When: Gộp 2 hành động ("áp mã" và "bấm Đặt xe").</w:t>
              <w:br/>
              <w:t>- Vi phạm quy tắc Then: Kết quả chung chung "hệ thống xử lý phù hợp" (không chỉ rõ thông báo lỗi hay trạng thái chặn đặt xe).</w:t>
            </w:r>
          </w:p>
        </w:tc>
        <w:tc>
          <w:tcPr>
            <w:tcW w:type="dxa" w:w="2160"/>
          </w:tcPr>
          <w:p>
            <w:r>
              <w:t>Tester không biết phải kiểm tra thông báo lỗi gì, hay hệ thống sẽ chặn không cho bấm đặt xe, dẫn đến mỗi Tester hiểu một kiểu.</w:t>
            </w:r>
          </w:p>
        </w:tc>
      </w:tr>
      <w:tr>
        <w:tc>
          <w:tcPr>
            <w:tcW w:type="dxa" w:w="2160"/>
          </w:tcPr>
          <w:p>
            <w:r>
              <w:t>AC3. Given khách bấm "Áp dụng", When mã "ABC123" không tồn tại, Then hệ thống hiển thị "Mã khuyến mãi không hợp lệ".</w:t>
            </w:r>
          </w:p>
        </w:tc>
        <w:tc>
          <w:tcPr>
            <w:tcW w:type="dxa" w:w="2160"/>
          </w:tcPr>
          <w:p>
            <w:r>
              <w:t>Sai</w:t>
            </w:r>
          </w:p>
        </w:tc>
        <w:tc>
          <w:tcPr>
            <w:tcW w:type="dxa" w:w="2160"/>
          </w:tcPr>
          <w:p>
            <w:r>
              <w:t>Vi phạm quy tắc Given và When: Đổi chỗ trạng thái và hành động. "Khách bấm Áp dụng" là hành động (When), còn "Mã không tồn tại" là trạng thái/điều kiện đầu vào (Given).</w:t>
            </w:r>
          </w:p>
        </w:tc>
        <w:tc>
          <w:tcPr>
            <w:tcW w:type="dxa" w:w="2160"/>
          </w:tcPr>
          <w:p>
            <w:r>
              <w:t>Logic ngược đời, gây khó khăn cho việc thiết lập dữ liệu test (setup state) trước khi thực thi hành động.</w:t>
            </w:r>
          </w:p>
        </w:tc>
      </w:tr>
      <w:tr>
        <w:tc>
          <w:tcPr>
            <w:tcW w:type="dxa" w:w="2160"/>
          </w:tcPr>
          <w:p>
            <w:r>
              <w:t>AC4. Given chuyến đã áp mã "GO20", When khách áp thêm mã "FREEKM", Then hệ thống hiển thị "Mỗi chuyến chỉ áp được 01 mã" và cước giữ nguyên 80.000đ.</w:t>
            </w:r>
          </w:p>
        </w:tc>
        <w:tc>
          <w:tcPr>
            <w:tcW w:type="dxa" w:w="2160"/>
          </w:tcPr>
          <w:p>
            <w:r>
              <w:t>Đúng</w:t>
            </w:r>
          </w:p>
        </w:tc>
        <w:tc>
          <w:tcPr>
            <w:tcW w:type="dxa" w:w="2160"/>
          </w:tcPr>
          <w:p>
            <w:r>
              <w:t>Không vi phạm. Chữ "và" trong trường hợp này nằm ở vế Then dùng để nối thêm kết quả kiểm chứng song song (vừa hiện thông báo, vừa giữ nguyên cước).</w:t>
            </w:r>
          </w:p>
        </w:tc>
        <w:tc>
          <w:tcPr>
            <w:tcW w:type="dxa" w:w="2160"/>
          </w:tcPr>
          <w:p>
            <w:r>
              <w:t>Không có. Kịch bản phản ánh đúng ràng buộc nghiệp vụ về việc chặn áp dụng mã thứ hai.</w:t>
            </w:r>
          </w:p>
        </w:tc>
      </w:tr>
    </w:tbl>
    <w:p>
      <w:pPr>
        <w:pStyle w:val="Heading1"/>
      </w:pPr>
      <w:r>
        <w:t>Phần 2 - Sửa lỗi Acceptance Criteria</w:t>
      </w:r>
    </w:p>
    <w:p>
      <w:r>
        <w:t>Sửa AC2 (Xử lý mã hết hạn):</w:t>
      </w:r>
    </w:p>
    <w:p>
      <w:pPr>
        <w:pStyle w:val="IntenseQuote"/>
      </w:pPr>
      <w:r>
        <w:t>Given mã khuyến mãi "GO20" đã hết hạn,</w:t>
        <w:br/>
        <w:t>When khách nhập mã "GO20" và bấm nút "Áp dụng",</w:t>
        <w:br/>
        <w:t>Then hệ thống hiển thị thông báo "Mã khuyến mãi đã hết hạn" và nút "Áp dụng" không làm thay đổi cước chuyến xe.</w:t>
      </w:r>
    </w:p>
    <w:p>
      <w:r>
        <w:t>Sửa AC3 (Xử lý mã không tồn tại):</w:t>
      </w:r>
    </w:p>
    <w:p>
      <w:pPr>
        <w:pStyle w:val="IntenseQuote"/>
      </w:pPr>
      <w:r>
        <w:t>Given mã khuyến mãi "ABC123" không tồn tại trên hệ thống và khách đang ở màn hình nhập mã,</w:t>
        <w:br/>
        <w:t>When khách nhập mã "ABC123" và bấm nút "Áp dụng",</w:t>
        <w:br/>
        <w:t>Then hệ thống hiển thị thông báo "Mã khuyến mãi không hợp lệ".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