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365D"/>
          <w:sz w:val="36"/>
        </w:rPr>
        <w:t>BÀI LÀM: NHẬN DIỆN VÀ SỬA KẾ HOẠCH SPRINT REVIEW</w:t>
      </w:r>
    </w:p>
    <w:p>
      <w:pPr>
        <w:spacing w:after="320"/>
      </w:pPr>
      <w:r>
        <w:rPr>
          <w:rFonts w:ascii="Arial" w:hAnsi="Arial"/>
          <w:i/>
          <w:color w:val="718096"/>
          <w:sz w:val="22"/>
        </w:rPr>
        <w:t>Dự án: Trợ lý AI CSKH đa kênh RikkeiAssist | Sprint 11</w:t>
      </w:r>
    </w:p>
    <w:p>
      <w:pPr>
        <w:keepNext/>
        <w:spacing w:before="280" w:after="120"/>
      </w:pPr>
      <w:r>
        <w:rPr>
          <w:rFonts w:ascii="Arial" w:hAnsi="Arial"/>
          <w:b/>
          <w:color w:val="1A365D"/>
          <w:sz w:val="26"/>
        </w:rPr>
        <w:t>Phần 1 - Rà soát và đề xuất sửa đổi kế hoạch Sprint Review (K-01 đến K-04)</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1A365D"/>
            <w:tcMar>
              <w:top w:w="120" w:type="dxa"/>
              <w:bottom w:w="120" w:type="dxa"/>
              <w:left w:w="140" w:type="dxa"/>
              <w:right w:w="140" w:type="dxa"/>
            </w:tcMar>
          </w:tcPr>
          <w:p>
            <w:pPr>
              <w:jc w:val="center"/>
            </w:pPr>
            <w:r>
              <w:rPr>
                <w:rFonts w:ascii="Arial" w:hAnsi="Arial"/>
                <w:b/>
                <w:color w:val="FFFFFF"/>
                <w:sz w:val="19"/>
              </w:rPr>
              <w:t>Mã</w:t>
            </w:r>
          </w:p>
        </w:tc>
        <w:tc>
          <w:tcPr>
            <w:tcW w:type="dxa" w:w="1728"/>
            <w:shd w:fill="1A365D"/>
            <w:tcMar>
              <w:top w:w="120" w:type="dxa"/>
              <w:bottom w:w="120" w:type="dxa"/>
              <w:left w:w="140" w:type="dxa"/>
              <w:right w:w="140" w:type="dxa"/>
            </w:tcMar>
          </w:tcPr>
          <w:p>
            <w:pPr>
              <w:jc w:val="center"/>
            </w:pPr>
            <w:r>
              <w:rPr>
                <w:rFonts w:ascii="Arial" w:hAnsi="Arial"/>
                <w:b/>
                <w:color w:val="FFFFFF"/>
                <w:sz w:val="19"/>
              </w:rPr>
              <w:t>Đánh giá</w:t>
            </w:r>
          </w:p>
        </w:tc>
        <w:tc>
          <w:tcPr>
            <w:tcW w:type="dxa" w:w="2016"/>
            <w:shd w:fill="1A365D"/>
            <w:tcMar>
              <w:top w:w="120" w:type="dxa"/>
              <w:bottom w:w="120" w:type="dxa"/>
              <w:left w:w="140" w:type="dxa"/>
              <w:right w:w="140" w:type="dxa"/>
            </w:tcMar>
          </w:tcPr>
          <w:p>
            <w:pPr>
              <w:jc w:val="center"/>
            </w:pPr>
            <w:r>
              <w:rPr>
                <w:rFonts w:ascii="Arial" w:hAnsi="Arial"/>
                <w:b/>
                <w:color w:val="FFFFFF"/>
                <w:sz w:val="19"/>
              </w:rPr>
              <w:t>Quy tắc căn cứ</w:t>
            </w:r>
          </w:p>
        </w:tc>
        <w:tc>
          <w:tcPr>
            <w:tcW w:type="dxa" w:w="4464"/>
            <w:shd w:fill="1A365D"/>
            <w:tcMar>
              <w:top w:w="120" w:type="dxa"/>
              <w:bottom w:w="120" w:type="dxa"/>
              <w:left w:w="140" w:type="dxa"/>
              <w:right w:w="140" w:type="dxa"/>
            </w:tcMar>
          </w:tcPr>
          <w:p>
            <w:pPr>
              <w:jc w:val="center"/>
            </w:pPr>
            <w:r>
              <w:rPr>
                <w:rFonts w:ascii="Arial" w:hAnsi="Arial"/>
                <w:b/>
                <w:color w:val="FFFFFF"/>
                <w:sz w:val="19"/>
              </w:rPr>
              <w:t>Cách sửa đổi cụ thể</w:t>
            </w:r>
          </w:p>
        </w:tc>
      </w:tr>
      <w:tr>
        <w:tc>
          <w:tcPr>
            <w:tcW w:type="dxa" w:w="1152"/>
            <w:shd w:fill="F7FAFC"/>
            <w:tcMar>
              <w:top w:w="100" w:type="dxa"/>
              <w:bottom w:w="100" w:type="dxa"/>
              <w:left w:w="120" w:type="dxa"/>
              <w:right w:w="120" w:type="dxa"/>
            </w:tcMar>
            <w:tcBorders>
              <w:top w:val="single" w:sz="4" w:space="0" w:color="CBD5E0"/>
              <w:bottom w:val="single" w:sz="4" w:space="0" w:color="CBD5E0"/>
              <w:left w:val="none"/>
              <w:right w:val="none"/>
            </w:tcBorders>
          </w:tcPr>
          <w:p>
            <w:pPr>
              <w:spacing w:after="40" w:before="40"/>
              <w:jc w:val="center"/>
            </w:pPr>
            <w:r>
              <w:rPr>
                <w:rFonts w:ascii="Arial" w:hAnsi="Arial"/>
                <w:color w:val="2D3748"/>
                <w:sz w:val="18"/>
              </w:rPr>
              <w:t>K-01</w:t>
              <w:br/>
              <w:t>(0–5')</w:t>
            </w:r>
          </w:p>
        </w:tc>
        <w:tc>
          <w:tcPr>
            <w:tcW w:type="dxa" w:w="1728"/>
            <w:shd w:fill="F7FAFC"/>
            <w:tcMar>
              <w:top w:w="100" w:type="dxa"/>
              <w:bottom w:w="100" w:type="dxa"/>
              <w:left w:w="120" w:type="dxa"/>
              <w:right w:w="120" w:type="dxa"/>
            </w:tcMar>
            <w:tcBorders>
              <w:top w:val="single" w:sz="4" w:space="0" w:color="CBD5E0"/>
              <w:bottom w:val="single" w:sz="4" w:space="0" w:color="CBD5E0"/>
              <w:left w:val="none"/>
              <w:right w:val="none"/>
            </w:tcBorders>
          </w:tcPr>
          <w:p>
            <w:pPr>
              <w:spacing w:after="40" w:before="40"/>
              <w:jc w:val="center"/>
            </w:pPr>
            <w:r>
              <w:rPr>
                <w:rFonts w:ascii="Arial" w:hAnsi="Arial"/>
                <w:b/>
                <w:color w:val="28A745"/>
                <w:sz w:val="18"/>
              </w:rPr>
              <w:t>Phù hợp</w:t>
            </w:r>
          </w:p>
        </w:tc>
        <w:tc>
          <w:tcPr>
            <w:tcW w:type="dxa" w:w="2016"/>
            <w:shd w:fill="F7FAFC"/>
            <w:tcMar>
              <w:top w:w="100" w:type="dxa"/>
              <w:bottom w:w="100" w:type="dxa"/>
              <w:left w:w="120" w:type="dxa"/>
              <w:right w:w="120" w:type="dxa"/>
            </w:tcMar>
            <w:tcBorders>
              <w:top w:val="single" w:sz="4" w:space="0" w:color="CBD5E0"/>
              <w:bottom w:val="single" w:sz="4" w:space="0" w:color="CBD5E0"/>
              <w:left w:val="none"/>
              <w:right w:val="none"/>
            </w:tcBorders>
          </w:tcPr>
          <w:p>
            <w:pPr>
              <w:spacing w:after="40" w:before="40"/>
              <w:jc w:val="left"/>
            </w:pPr>
            <w:r>
              <w:rPr>
                <w:rFonts w:ascii="Arial" w:hAnsi="Arial"/>
                <w:color w:val="2D3748"/>
                <w:sz w:val="18"/>
              </w:rPr>
              <w:t>-</w:t>
            </w:r>
          </w:p>
        </w:tc>
        <w:tc>
          <w:tcPr>
            <w:tcW w:type="dxa" w:w="4464"/>
            <w:shd w:fill="F7FAFC"/>
            <w:tcMar>
              <w:top w:w="100" w:type="dxa"/>
              <w:bottom w:w="100" w:type="dxa"/>
              <w:left w:w="120" w:type="dxa"/>
              <w:right w:w="120" w:type="dxa"/>
            </w:tcMar>
            <w:tcBorders>
              <w:top w:val="single" w:sz="4" w:space="0" w:color="CBD5E0"/>
              <w:bottom w:val="single" w:sz="4" w:space="0" w:color="CBD5E0"/>
              <w:left w:val="none"/>
              <w:right w:val="none"/>
            </w:tcBorders>
          </w:tcPr>
          <w:p>
            <w:pPr>
              <w:spacing w:after="40" w:before="40"/>
              <w:jc w:val="left"/>
            </w:pPr>
            <w:r>
              <w:rPr>
                <w:rFonts w:ascii="Arial" w:hAnsi="Arial"/>
                <w:color w:val="2D3748"/>
                <w:sz w:val="18"/>
              </w:rPr>
              <w:t>Giữ nguyên hoạt động. Product Owner nhắc lại Sprint Goal và bối cảnh Sprint 11 để định hướng buổi làm việc tập trung vào mục tiêu chung.</w:t>
            </w:r>
          </w:p>
        </w:tc>
      </w:tr>
      <w:tr>
        <w:tc>
          <w:tcPr>
            <w:tcW w:type="dxa" w:w="1152"/>
            <w:shd w:fill="FFFFFF"/>
            <w:tcMar>
              <w:top w:w="100" w:type="dxa"/>
              <w:bottom w:w="100" w:type="dxa"/>
              <w:left w:w="120" w:type="dxa"/>
              <w:right w:w="120" w:type="dxa"/>
            </w:tcMar>
            <w:tcBorders>
              <w:top w:val="single" w:sz="4" w:space="0" w:color="CBD5E0"/>
              <w:bottom w:val="single" w:sz="4" w:space="0" w:color="CBD5E0"/>
              <w:left w:val="none"/>
              <w:right w:val="none"/>
            </w:tcBorders>
          </w:tcPr>
          <w:p>
            <w:pPr>
              <w:spacing w:after="40" w:before="40"/>
              <w:jc w:val="center"/>
            </w:pPr>
            <w:r>
              <w:rPr>
                <w:rFonts w:ascii="Arial" w:hAnsi="Arial"/>
                <w:color w:val="2D3748"/>
                <w:sz w:val="18"/>
              </w:rPr>
              <w:t>K-02</w:t>
              <w:br/>
              <w:t>(5–15')</w:t>
            </w:r>
          </w:p>
        </w:tc>
        <w:tc>
          <w:tcPr>
            <w:tcW w:type="dxa" w:w="1728"/>
            <w:shd w:fill="FFFFFF"/>
            <w:tcMar>
              <w:top w:w="100" w:type="dxa"/>
              <w:bottom w:w="100" w:type="dxa"/>
              <w:left w:w="120" w:type="dxa"/>
              <w:right w:w="120" w:type="dxa"/>
            </w:tcMar>
            <w:tcBorders>
              <w:top w:val="single" w:sz="4" w:space="0" w:color="CBD5E0"/>
              <w:bottom w:val="single" w:sz="4" w:space="0" w:color="CBD5E0"/>
              <w:left w:val="none"/>
              <w:right w:val="none"/>
            </w:tcBorders>
          </w:tcPr>
          <w:p>
            <w:pPr>
              <w:spacing w:after="40" w:before="40"/>
              <w:jc w:val="center"/>
            </w:pPr>
            <w:r>
              <w:rPr>
                <w:rFonts w:ascii="Arial" w:hAnsi="Arial"/>
                <w:b/>
                <w:color w:val="DC3545"/>
                <w:sz w:val="18"/>
              </w:rPr>
              <w:t>Chưa phù hợp</w:t>
            </w:r>
          </w:p>
        </w:tc>
        <w:tc>
          <w:tcPr>
            <w:tcW w:type="dxa" w:w="2016"/>
            <w:shd w:fill="FFFFFF"/>
            <w:tcMar>
              <w:top w:w="100" w:type="dxa"/>
              <w:bottom w:w="100" w:type="dxa"/>
              <w:left w:w="120" w:type="dxa"/>
              <w:right w:w="120" w:type="dxa"/>
            </w:tcMar>
            <w:tcBorders>
              <w:top w:val="single" w:sz="4" w:space="0" w:color="CBD5E0"/>
              <w:bottom w:val="single" w:sz="4" w:space="0" w:color="CBD5E0"/>
              <w:left w:val="none"/>
              <w:right w:val="none"/>
            </w:tcBorders>
          </w:tcPr>
          <w:p>
            <w:pPr>
              <w:spacing w:after="40" w:before="40"/>
              <w:jc w:val="left"/>
            </w:pPr>
            <w:r>
              <w:rPr>
                <w:rFonts w:ascii="Arial" w:hAnsi="Arial"/>
                <w:color w:val="2D3748"/>
                <w:sz w:val="18"/>
              </w:rPr>
              <w:t>QT1</w:t>
              <w:br/>
              <w:t>(Kiểm tra &amp; thích ứng, không báo cáo)</w:t>
            </w:r>
          </w:p>
        </w:tc>
        <w:tc>
          <w:tcPr>
            <w:tcW w:type="dxa" w:w="4464"/>
            <w:shd w:fill="FFFFFF"/>
            <w:tcMar>
              <w:top w:w="100" w:type="dxa"/>
              <w:bottom w:w="100" w:type="dxa"/>
              <w:left w:w="120" w:type="dxa"/>
              <w:right w:w="120" w:type="dxa"/>
            </w:tcMar>
            <w:tcBorders>
              <w:top w:val="single" w:sz="4" w:space="0" w:color="CBD5E0"/>
              <w:bottom w:val="single" w:sz="4" w:space="0" w:color="CBD5E0"/>
              <w:left w:val="none"/>
              <w:right w:val="none"/>
            </w:tcBorders>
          </w:tcPr>
          <w:p>
            <w:pPr>
              <w:spacing w:after="40" w:before="40"/>
              <w:jc w:val="left"/>
            </w:pPr>
            <w:r>
              <w:rPr>
                <w:rFonts w:ascii="Arial" w:hAnsi="Arial"/>
                <w:color w:val="2D3748"/>
                <w:sz w:val="18"/>
              </w:rPr>
              <w:t>Đổi thành: PO tóm tắt ngắn gọn các hạng mục Đạt và Chưa đạt (khoảng 3–5'). Thời gian còn lại Developers trực tiếp cùng Stakeholders thảo luận về môi trường thử nghiệm và những điểm cần lưu ý thực tế.</w:t>
            </w:r>
          </w:p>
        </w:tc>
      </w:tr>
      <w:tr>
        <w:tc>
          <w:tcPr>
            <w:tcW w:type="dxa" w:w="1152"/>
            <w:shd w:fill="F7FAFC"/>
            <w:tcMar>
              <w:top w:w="100" w:type="dxa"/>
              <w:bottom w:w="100" w:type="dxa"/>
              <w:left w:w="120" w:type="dxa"/>
              <w:right w:w="120" w:type="dxa"/>
            </w:tcMar>
            <w:tcBorders>
              <w:top w:val="single" w:sz="4" w:space="0" w:color="CBD5E0"/>
              <w:bottom w:val="single" w:sz="4" w:space="0" w:color="CBD5E0"/>
              <w:left w:val="none"/>
              <w:right w:val="none"/>
            </w:tcBorders>
          </w:tcPr>
          <w:p>
            <w:pPr>
              <w:spacing w:after="40" w:before="40"/>
              <w:jc w:val="center"/>
            </w:pPr>
            <w:r>
              <w:rPr>
                <w:rFonts w:ascii="Arial" w:hAnsi="Arial"/>
                <w:color w:val="2D3748"/>
                <w:sz w:val="18"/>
              </w:rPr>
              <w:t>K-03</w:t>
              <w:br/>
              <w:t>(15–35')</w:t>
            </w:r>
          </w:p>
        </w:tc>
        <w:tc>
          <w:tcPr>
            <w:tcW w:type="dxa" w:w="1728"/>
            <w:shd w:fill="F7FAFC"/>
            <w:tcMar>
              <w:top w:w="100" w:type="dxa"/>
              <w:bottom w:w="100" w:type="dxa"/>
              <w:left w:w="120" w:type="dxa"/>
              <w:right w:w="120" w:type="dxa"/>
            </w:tcMar>
            <w:tcBorders>
              <w:top w:val="single" w:sz="4" w:space="0" w:color="CBD5E0"/>
              <w:bottom w:val="single" w:sz="4" w:space="0" w:color="CBD5E0"/>
              <w:left w:val="none"/>
              <w:right w:val="none"/>
            </w:tcBorders>
          </w:tcPr>
          <w:p>
            <w:pPr>
              <w:spacing w:after="40" w:before="40"/>
              <w:jc w:val="center"/>
            </w:pPr>
            <w:r>
              <w:rPr>
                <w:rFonts w:ascii="Arial" w:hAnsi="Arial"/>
                <w:b/>
                <w:color w:val="DC3545"/>
                <w:sz w:val="18"/>
              </w:rPr>
              <w:t>Chưa phù hợp</w:t>
            </w:r>
          </w:p>
        </w:tc>
        <w:tc>
          <w:tcPr>
            <w:tcW w:type="dxa" w:w="2016"/>
            <w:shd w:fill="F7FAFC"/>
            <w:tcMar>
              <w:top w:w="100" w:type="dxa"/>
              <w:bottom w:w="100" w:type="dxa"/>
              <w:left w:w="120" w:type="dxa"/>
              <w:right w:w="120" w:type="dxa"/>
            </w:tcMar>
            <w:tcBorders>
              <w:top w:val="single" w:sz="4" w:space="0" w:color="CBD5E0"/>
              <w:bottom w:val="single" w:sz="4" w:space="0" w:color="CBD5E0"/>
              <w:left w:val="none"/>
              <w:right w:val="none"/>
            </w:tcBorders>
          </w:tcPr>
          <w:p>
            <w:pPr>
              <w:spacing w:after="40" w:before="40"/>
              <w:jc w:val="left"/>
            </w:pPr>
            <w:r>
              <w:rPr>
                <w:rFonts w:ascii="Arial" w:hAnsi="Arial"/>
                <w:color w:val="2D3748"/>
                <w:sz w:val="18"/>
              </w:rPr>
              <w:t>QT2 &amp; QT3</w:t>
              <w:br/>
              <w:t>(Chỉ giới thiệu Increment đạt Done; Devs demo)</w:t>
            </w:r>
          </w:p>
        </w:tc>
        <w:tc>
          <w:tcPr>
            <w:tcW w:type="dxa" w:w="4464"/>
            <w:shd w:fill="F7FAFC"/>
            <w:tcMar>
              <w:top w:w="100" w:type="dxa"/>
              <w:bottom w:w="100" w:type="dxa"/>
              <w:left w:w="120" w:type="dxa"/>
              <w:right w:w="120" w:type="dxa"/>
            </w:tcMar>
            <w:tcBorders>
              <w:top w:val="single" w:sz="4" w:space="0" w:color="CBD5E0"/>
              <w:bottom w:val="single" w:sz="4" w:space="0" w:color="CBD5E0"/>
              <w:left w:val="none"/>
              <w:right w:val="none"/>
            </w:tcBorders>
          </w:tcPr>
          <w:p>
            <w:pPr>
              <w:spacing w:after="40" w:before="40"/>
              <w:jc w:val="left"/>
            </w:pPr>
            <w:r>
              <w:rPr>
                <w:rFonts w:ascii="Arial" w:hAnsi="Arial"/>
                <w:color w:val="2D3748"/>
                <w:sz w:val="18"/>
              </w:rPr>
              <w:t>Chỉ demo PBI-41 (đã Done). Developers trực tiếp demo User Journey: "Khách hàng nhập mã đơn trên Website -&gt; Hệ thống trả về trạng thái đơn thời gian thực". Minh bạch số liệu PBI-42, PBI-44 chưa Done (không giấu lỗi) để thảo luận giải pháp.</w:t>
            </w:r>
          </w:p>
        </w:tc>
      </w:tr>
      <w:tr>
        <w:tc>
          <w:tcPr>
            <w:tcW w:type="dxa" w:w="1152"/>
            <w:shd w:fill="FFFFFF"/>
            <w:tcMar>
              <w:top w:w="100" w:type="dxa"/>
              <w:bottom w:w="100" w:type="dxa"/>
              <w:left w:w="120" w:type="dxa"/>
              <w:right w:w="120" w:type="dxa"/>
            </w:tcMar>
            <w:tcBorders>
              <w:top w:val="single" w:sz="4" w:space="0" w:color="CBD5E0"/>
              <w:bottom w:val="single" w:sz="4" w:space="0" w:color="CBD5E0"/>
              <w:left w:val="none"/>
              <w:right w:val="none"/>
            </w:tcBorders>
          </w:tcPr>
          <w:p>
            <w:pPr>
              <w:spacing w:after="40" w:before="40"/>
              <w:jc w:val="center"/>
            </w:pPr>
            <w:r>
              <w:rPr>
                <w:rFonts w:ascii="Arial" w:hAnsi="Arial"/>
                <w:color w:val="2D3748"/>
                <w:sz w:val="18"/>
              </w:rPr>
              <w:t>K-04</w:t>
              <w:br/>
              <w:t>(35–45')</w:t>
            </w:r>
          </w:p>
        </w:tc>
        <w:tc>
          <w:tcPr>
            <w:tcW w:type="dxa" w:w="1728"/>
            <w:shd w:fill="FFFFFF"/>
            <w:tcMar>
              <w:top w:w="100" w:type="dxa"/>
              <w:bottom w:w="100" w:type="dxa"/>
              <w:left w:w="120" w:type="dxa"/>
              <w:right w:w="120" w:type="dxa"/>
            </w:tcMar>
            <w:tcBorders>
              <w:top w:val="single" w:sz="4" w:space="0" w:color="CBD5E0"/>
              <w:bottom w:val="single" w:sz="4" w:space="0" w:color="CBD5E0"/>
              <w:left w:val="none"/>
              <w:right w:val="none"/>
            </w:tcBorders>
          </w:tcPr>
          <w:p>
            <w:pPr>
              <w:spacing w:after="40" w:before="40"/>
              <w:jc w:val="center"/>
            </w:pPr>
            <w:r>
              <w:rPr>
                <w:rFonts w:ascii="Arial" w:hAnsi="Arial"/>
                <w:b/>
                <w:color w:val="DC3545"/>
                <w:sz w:val="18"/>
              </w:rPr>
              <w:t>Chưa phù hợp</w:t>
            </w:r>
          </w:p>
        </w:tc>
        <w:tc>
          <w:tcPr>
            <w:tcW w:type="dxa" w:w="2016"/>
            <w:shd w:fill="FFFFFF"/>
            <w:tcMar>
              <w:top w:w="100" w:type="dxa"/>
              <w:bottom w:w="100" w:type="dxa"/>
              <w:left w:w="120" w:type="dxa"/>
              <w:right w:w="120" w:type="dxa"/>
            </w:tcMar>
            <w:tcBorders>
              <w:top w:val="single" w:sz="4" w:space="0" w:color="CBD5E0"/>
              <w:bottom w:val="single" w:sz="4" w:space="0" w:color="CBD5E0"/>
              <w:left w:val="none"/>
              <w:right w:val="none"/>
            </w:tcBorders>
          </w:tcPr>
          <w:p>
            <w:pPr>
              <w:spacing w:after="40" w:before="40"/>
              <w:jc w:val="left"/>
            </w:pPr>
            <w:r>
              <w:rPr>
                <w:rFonts w:ascii="Arial" w:hAnsi="Arial"/>
                <w:color w:val="2D3748"/>
                <w:sz w:val="18"/>
              </w:rPr>
              <w:t>QT1 &amp; QT4</w:t>
              <w:br/>
              <w:t>(Không nghiệm thu; Feedback xem xét cho Backlog)</w:t>
            </w:r>
          </w:p>
        </w:tc>
        <w:tc>
          <w:tcPr>
            <w:tcW w:type="dxa" w:w="4464"/>
            <w:shd w:fill="FFFFFF"/>
            <w:tcMar>
              <w:top w:w="100" w:type="dxa"/>
              <w:bottom w:w="100" w:type="dxa"/>
              <w:left w:w="120" w:type="dxa"/>
              <w:right w:w="120" w:type="dxa"/>
            </w:tcMar>
            <w:tcBorders>
              <w:top w:val="single" w:sz="4" w:space="0" w:color="CBD5E0"/>
              <w:bottom w:val="single" w:sz="4" w:space="0" w:color="CBD5E0"/>
              <w:left w:val="none"/>
              <w:right w:val="none"/>
            </w:tcBorders>
          </w:tcPr>
          <w:p>
            <w:pPr>
              <w:spacing w:after="40" w:before="40"/>
              <w:jc w:val="left"/>
            </w:pPr>
            <w:r>
              <w:rPr>
                <w:rFonts w:ascii="Arial" w:hAnsi="Arial"/>
                <w:color w:val="2D3748"/>
                <w:sz w:val="18"/>
              </w:rPr>
              <w:t>Chuyển từ nghiệm thu sang lấy ý kiến đóng góp. Đặt câu hỏi mở cho Stakeholders: "Anh/chị thấy giao diện tra cứu trên web đã đáp ứng thao tác thực tế của nhân viên chưa? Cần cải thiện gì thêm?". Ghi nhận toàn bộ Feedback vào Product Backlog để PO tinh chỉnh, không cam kết làm ngay trong Sprint 12.</w:t>
            </w:r>
          </w:p>
        </w:tc>
      </w:tr>
    </w:tbl>
    <w:p>
      <w:pPr>
        <w:keepNext/>
        <w:spacing w:before="280" w:after="120"/>
      </w:pPr>
      <w:r>
        <w:rPr>
          <w:rFonts w:ascii="Arial" w:hAnsi="Arial"/>
          <w:b/>
          <w:color w:val="1A365D"/>
          <w:sz w:val="26"/>
        </w:rPr>
        <w:t>Phần 2 - Đánh giá trạng thái và câu thông báo minh bạch cho các PBI</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A365D"/>
            <w:tcMar>
              <w:top w:w="120" w:type="dxa"/>
              <w:bottom w:w="120" w:type="dxa"/>
              <w:left w:w="140" w:type="dxa"/>
              <w:right w:w="140" w:type="dxa"/>
            </w:tcMar>
          </w:tcPr>
          <w:p>
            <w:pPr>
              <w:jc w:val="center"/>
            </w:pPr>
            <w:r>
              <w:rPr>
                <w:rFonts w:ascii="Arial" w:hAnsi="Arial"/>
                <w:b/>
                <w:color w:val="FFFFFF"/>
                <w:sz w:val="19"/>
              </w:rPr>
              <w:t>PBI</w:t>
            </w:r>
          </w:p>
        </w:tc>
        <w:tc>
          <w:tcPr>
            <w:tcW w:type="dxa" w:w="1872"/>
            <w:shd w:fill="1A365D"/>
            <w:tcMar>
              <w:top w:w="120" w:type="dxa"/>
              <w:bottom w:w="120" w:type="dxa"/>
              <w:left w:w="140" w:type="dxa"/>
              <w:right w:w="140" w:type="dxa"/>
            </w:tcMar>
          </w:tcPr>
          <w:p>
            <w:pPr>
              <w:jc w:val="center"/>
            </w:pPr>
            <w:r>
              <w:rPr>
                <w:rFonts w:ascii="Arial" w:hAnsi="Arial"/>
                <w:b/>
                <w:color w:val="FFFFFF"/>
                <w:sz w:val="19"/>
              </w:rPr>
              <w:t>Trạng thái</w:t>
            </w:r>
          </w:p>
        </w:tc>
        <w:tc>
          <w:tcPr>
            <w:tcW w:type="dxa" w:w="5760"/>
            <w:shd w:fill="1A365D"/>
            <w:tcMar>
              <w:top w:w="120" w:type="dxa"/>
              <w:bottom w:w="120" w:type="dxa"/>
              <w:left w:w="140" w:type="dxa"/>
              <w:right w:w="140" w:type="dxa"/>
            </w:tcMar>
          </w:tcPr>
          <w:p>
            <w:pPr>
              <w:jc w:val="center"/>
            </w:pPr>
            <w:r>
              <w:rPr>
                <w:rFonts w:ascii="Arial" w:hAnsi="Arial"/>
                <w:b/>
                <w:color w:val="FFFFFF"/>
                <w:sz w:val="19"/>
              </w:rPr>
              <w:t>Câu thông báo trong Sprint Review</w:t>
            </w:r>
          </w:p>
        </w:tc>
      </w:tr>
      <w:tr>
        <w:tc>
          <w:tcPr>
            <w:tcW w:type="dxa" w:w="1728"/>
            <w:shd w:fill="F7FAFC"/>
            <w:tcMar>
              <w:top w:w="100" w:type="dxa"/>
              <w:bottom w:w="100" w:type="dxa"/>
              <w:left w:w="120" w:type="dxa"/>
              <w:right w:w="120" w:type="dxa"/>
            </w:tcMar>
            <w:tcBorders>
              <w:top w:val="single" w:sz="4" w:space="0" w:color="CBD5E0"/>
              <w:bottom w:val="single" w:sz="4" w:space="0" w:color="CBD5E0"/>
              <w:left w:val="none"/>
              <w:right w:val="none"/>
            </w:tcBorders>
          </w:tcPr>
          <w:p>
            <w:pPr>
              <w:spacing w:after="40" w:before="40"/>
              <w:jc w:val="center"/>
            </w:pPr>
            <w:r>
              <w:rPr>
                <w:rFonts w:ascii="Arial" w:hAnsi="Arial"/>
                <w:color w:val="2D3748"/>
                <w:sz w:val="18"/>
              </w:rPr>
              <w:t>PBI-41:</w:t>
              <w:br/>
              <w:t>Tra cứu trạng thái đơn trên website</w:t>
            </w:r>
          </w:p>
        </w:tc>
        <w:tc>
          <w:tcPr>
            <w:tcW w:type="dxa" w:w="1872"/>
            <w:shd w:fill="F7FAFC"/>
            <w:tcMar>
              <w:top w:w="100" w:type="dxa"/>
              <w:bottom w:w="100" w:type="dxa"/>
              <w:left w:w="120" w:type="dxa"/>
              <w:right w:w="120" w:type="dxa"/>
            </w:tcMar>
            <w:tcBorders>
              <w:top w:val="single" w:sz="4" w:space="0" w:color="CBD5E0"/>
              <w:bottom w:val="single" w:sz="4" w:space="0" w:color="CBD5E0"/>
              <w:left w:val="none"/>
              <w:right w:val="none"/>
            </w:tcBorders>
          </w:tcPr>
          <w:p>
            <w:pPr>
              <w:spacing w:after="40" w:before="40"/>
              <w:jc w:val="center"/>
            </w:pPr>
            <w:r>
              <w:rPr>
                <w:rFonts w:ascii="Arial" w:hAnsi="Arial"/>
                <w:b/>
                <w:color w:val="28A745"/>
                <w:sz w:val="18"/>
              </w:rPr>
              <w:t>Done</w:t>
            </w:r>
          </w:p>
        </w:tc>
        <w:tc>
          <w:tcPr>
            <w:tcW w:type="dxa" w:w="5760"/>
            <w:shd w:fill="F7FAFC"/>
            <w:tcMar>
              <w:top w:w="100" w:type="dxa"/>
              <w:bottom w:w="100" w:type="dxa"/>
              <w:left w:w="120" w:type="dxa"/>
              <w:right w:w="120" w:type="dxa"/>
            </w:tcMar>
            <w:tcBorders>
              <w:top w:val="single" w:sz="4" w:space="0" w:color="CBD5E0"/>
              <w:bottom w:val="single" w:sz="4" w:space="0" w:color="CBD5E0"/>
              <w:left w:val="none"/>
              <w:right w:val="none"/>
            </w:tcBorders>
          </w:tcPr>
          <w:p>
            <w:pPr>
              <w:spacing w:after="40" w:before="40"/>
              <w:jc w:val="left"/>
            </w:pPr>
            <w:r>
              <w:rPr>
                <w:rFonts w:ascii="Arial" w:hAnsi="Arial"/>
                <w:color w:val="2D3748"/>
                <w:sz w:val="18"/>
              </w:rPr>
              <w:t>"PBI-41 đã hoàn thành toàn bộ 60/60 kịch bản kiểm thử chính, không còn lỗi nghiêm trọng và chạy ổn định trên môi trường thử nghiệm, đủ điều kiện là Increment của Sprint này để nhóm tiến hành demo trực tiếp."</w:t>
            </w:r>
          </w:p>
        </w:tc>
      </w:tr>
      <w:tr>
        <w:tc>
          <w:tcPr>
            <w:tcW w:type="dxa" w:w="1728"/>
            <w:shd w:fill="FFFFFF"/>
            <w:tcMar>
              <w:top w:w="100" w:type="dxa"/>
              <w:bottom w:w="100" w:type="dxa"/>
              <w:left w:w="120" w:type="dxa"/>
              <w:right w:w="120" w:type="dxa"/>
            </w:tcMar>
            <w:tcBorders>
              <w:top w:val="single" w:sz="4" w:space="0" w:color="CBD5E0"/>
              <w:bottom w:val="single" w:sz="4" w:space="0" w:color="CBD5E0"/>
              <w:left w:val="none"/>
              <w:right w:val="none"/>
            </w:tcBorders>
          </w:tcPr>
          <w:p>
            <w:pPr>
              <w:spacing w:after="40" w:before="40"/>
              <w:jc w:val="center"/>
            </w:pPr>
            <w:r>
              <w:rPr>
                <w:rFonts w:ascii="Arial" w:hAnsi="Arial"/>
                <w:color w:val="2D3748"/>
                <w:sz w:val="18"/>
              </w:rPr>
              <w:t>PBI-42:</w:t>
              <w:br/>
              <w:t>Tra cứu trạng thái đơn từ mạng xã hội</w:t>
            </w:r>
          </w:p>
        </w:tc>
        <w:tc>
          <w:tcPr>
            <w:tcW w:type="dxa" w:w="1872"/>
            <w:shd w:fill="FFFFFF"/>
            <w:tcMar>
              <w:top w:w="100" w:type="dxa"/>
              <w:bottom w:w="100" w:type="dxa"/>
              <w:left w:w="120" w:type="dxa"/>
              <w:right w:w="120" w:type="dxa"/>
            </w:tcMar>
            <w:tcBorders>
              <w:top w:val="single" w:sz="4" w:space="0" w:color="CBD5E0"/>
              <w:bottom w:val="single" w:sz="4" w:space="0" w:color="CBD5E0"/>
              <w:left w:val="none"/>
              <w:right w:val="none"/>
            </w:tcBorders>
          </w:tcPr>
          <w:p>
            <w:pPr>
              <w:spacing w:after="40" w:before="40"/>
              <w:jc w:val="center"/>
            </w:pPr>
            <w:r>
              <w:rPr>
                <w:rFonts w:ascii="Arial" w:hAnsi="Arial"/>
                <w:b/>
                <w:color w:val="DC3545"/>
                <w:sz w:val="18"/>
              </w:rPr>
              <w:t>Chưa Done</w:t>
            </w:r>
          </w:p>
        </w:tc>
        <w:tc>
          <w:tcPr>
            <w:tcW w:type="dxa" w:w="5760"/>
            <w:shd w:fill="FFFFFF"/>
            <w:tcMar>
              <w:top w:w="100" w:type="dxa"/>
              <w:bottom w:w="100" w:type="dxa"/>
              <w:left w:w="120" w:type="dxa"/>
              <w:right w:w="120" w:type="dxa"/>
            </w:tcMar>
            <w:tcBorders>
              <w:top w:val="single" w:sz="4" w:space="0" w:color="CBD5E0"/>
              <w:bottom w:val="single" w:sz="4" w:space="0" w:color="CBD5E0"/>
              <w:left w:val="none"/>
              <w:right w:val="none"/>
            </w:tcBorders>
          </w:tcPr>
          <w:p>
            <w:pPr>
              <w:spacing w:after="40" w:before="40"/>
              <w:jc w:val="left"/>
            </w:pPr>
            <w:r>
              <w:rPr>
                <w:rFonts w:ascii="Arial" w:hAnsi="Arial"/>
                <w:color w:val="2D3748"/>
                <w:sz w:val="18"/>
              </w:rPr>
              <w:t>"PBI-42 chưa được xem là Done vì dù đã tích hợp xong nhưng vẫn còn 8 ca kiểm thử lỗi dịch vụ đơn hàng chưa đạt; nhóm xin phép trình bày nguyên nhân kỹ thuật và sẽ chuyển hạng mục này sang Product Backlog để hoàn thiện tiếp."</w:t>
            </w:r>
          </w:p>
        </w:tc>
      </w:tr>
      <w:tr>
        <w:tc>
          <w:tcPr>
            <w:tcW w:type="dxa" w:w="1728"/>
            <w:shd w:fill="F7FAFC"/>
            <w:tcMar>
              <w:top w:w="100" w:type="dxa"/>
              <w:bottom w:w="100" w:type="dxa"/>
              <w:left w:w="120" w:type="dxa"/>
              <w:right w:w="120" w:type="dxa"/>
            </w:tcMar>
            <w:tcBorders>
              <w:top w:val="single" w:sz="4" w:space="0" w:color="CBD5E0"/>
              <w:bottom w:val="single" w:sz="4" w:space="0" w:color="CBD5E0"/>
              <w:left w:val="none"/>
              <w:right w:val="none"/>
            </w:tcBorders>
          </w:tcPr>
          <w:p>
            <w:pPr>
              <w:spacing w:after="40" w:before="40"/>
              <w:jc w:val="center"/>
            </w:pPr>
            <w:r>
              <w:rPr>
                <w:rFonts w:ascii="Arial" w:hAnsi="Arial"/>
                <w:color w:val="2D3748"/>
                <w:sz w:val="18"/>
              </w:rPr>
              <w:t>PBI-44:</w:t>
              <w:br/>
              <w:t>Nhận diện khiếu nại nghiêm trọng</w:t>
            </w:r>
          </w:p>
        </w:tc>
        <w:tc>
          <w:tcPr>
            <w:tcW w:type="dxa" w:w="1872"/>
            <w:shd w:fill="F7FAFC"/>
            <w:tcMar>
              <w:top w:w="100" w:type="dxa"/>
              <w:bottom w:w="100" w:type="dxa"/>
              <w:left w:w="120" w:type="dxa"/>
              <w:right w:w="120" w:type="dxa"/>
            </w:tcMar>
            <w:tcBorders>
              <w:top w:val="single" w:sz="4" w:space="0" w:color="CBD5E0"/>
              <w:bottom w:val="single" w:sz="4" w:space="0" w:color="CBD5E0"/>
              <w:left w:val="none"/>
              <w:right w:val="none"/>
            </w:tcBorders>
          </w:tcPr>
          <w:p>
            <w:pPr>
              <w:spacing w:after="40" w:before="40"/>
              <w:jc w:val="center"/>
            </w:pPr>
            <w:r>
              <w:rPr>
                <w:rFonts w:ascii="Arial" w:hAnsi="Arial"/>
                <w:b/>
                <w:color w:val="DC3545"/>
                <w:sz w:val="18"/>
              </w:rPr>
              <w:t>Chưa Done</w:t>
            </w:r>
          </w:p>
        </w:tc>
        <w:tc>
          <w:tcPr>
            <w:tcW w:type="dxa" w:w="5760"/>
            <w:shd w:fill="F7FAFC"/>
            <w:tcMar>
              <w:top w:w="100" w:type="dxa"/>
              <w:bottom w:w="100" w:type="dxa"/>
              <w:left w:w="120" w:type="dxa"/>
              <w:right w:w="120" w:type="dxa"/>
            </w:tcMar>
            <w:tcBorders>
              <w:top w:val="single" w:sz="4" w:space="0" w:color="CBD5E0"/>
              <w:bottom w:val="single" w:sz="4" w:space="0" w:color="CBD5E0"/>
              <w:left w:val="none"/>
              <w:right w:val="none"/>
            </w:tcBorders>
          </w:tcPr>
          <w:p>
            <w:pPr>
              <w:spacing w:after="40" w:before="40"/>
              <w:jc w:val="left"/>
            </w:pPr>
            <w:r>
              <w:rPr>
                <w:rFonts w:ascii="Arial" w:hAnsi="Arial"/>
                <w:color w:val="2D3748"/>
                <w:sz w:val="18"/>
              </w:rPr>
              <w:t>"PBI-44 chưa được xem là Done vì hệ thống còn phân loại sai 6/80 ca và còn 01 lỗi mức nghiêm trọng cao vi phạm tiêu chuẩn chất lượng (DoD); nhóm cam kết minh bạch số liệu này để cùng Stakeholders phân tích dữ liệu thực tế và khắc phục."</w:t>
            </w:r>
          </w:p>
        </w:tc>
      </w:tr>
    </w:tbl>
    <w:p>
      <w:pPr>
        <w:keepNext/>
        <w:spacing w:before="280" w:after="120"/>
      </w:pPr>
      <w:r>
        <w:rPr>
          <w:rFonts w:ascii="Arial" w:hAnsi="Arial"/>
          <w:b/>
          <w:color w:val="1A365D"/>
          <w:sz w:val="26"/>
        </w:rPr>
        <w:t>Phần 3 - Xử lý tình huống và phản hồi Product Owner</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180" w:type="dxa"/>
              <w:right w:w="180" w:type="dxa"/>
            </w:tcMar>
            <w:tcBorders>
              <w:top w:val="none"/>
              <w:bottom w:val="none"/>
              <w:left w:val="single" w:sz="4" w:space="0" w:color="2B6CB0"/>
              <w:right w:val="none"/>
            </w:tcBorders>
          </w:tcPr>
          <w:p>
            <w:pPr>
              <w:spacing w:before="0" w:after="120" w:line="288" w:lineRule="auto"/>
            </w:pPr>
            <w:r>
              <w:rPr>
                <w:rFonts w:ascii="Arial" w:hAnsi="Arial"/>
                <w:b/>
                <w:color w:val="1A365D"/>
                <w:sz w:val="19"/>
              </w:rPr>
              <w:t>Lời nhắn gửi Product Owner (3–5 câu theo đúng nguyên tắc Scrum):</w:t>
            </w:r>
          </w:p>
          <w:p>
            <w:pPr>
              <w:spacing w:after="120" w:before="0" w:line="288" w:lineRule="auto"/>
            </w:pPr>
            <w:r>
              <w:rPr>
                <w:rFonts w:ascii="Arial" w:hAnsi="Arial"/>
                <w:color w:val="2D3748"/>
                <w:sz w:val="19"/>
              </w:rPr>
              <w:t>1. "Nếu chúng ta giấu 6 ca phân loại sai của PBI-44, Scrum Team sẽ vi phạm tính minh bạch cốt lõi của Scrum và đánh mất cơ hội cùng Stakeholders nhận diện rủi ro AI xử lý sai thực tế."</w:t>
            </w:r>
          </w:p>
          <w:p>
            <w:pPr>
              <w:spacing w:after="120" w:before="0" w:line="288" w:lineRule="auto"/>
            </w:pPr>
            <w:r>
              <w:rPr>
                <w:rFonts w:ascii="Arial" w:hAnsi="Arial"/>
                <w:color w:val="2D3748"/>
                <w:sz w:val="19"/>
              </w:rPr>
              <w:t>2. "Các ý kiến đóng góp từ Chủ cửa hàng sẽ được ghi nhận và xem xét đưa vào Product Backlog để PO ưu tiên, chứ không tự động trở thành cam kết ngay trong Sprint tiếp theo nhằm đảm bảo năng lực của nhóm."</w:t>
            </w:r>
          </w:p>
          <w:p>
            <w:pPr>
              <w:spacing w:after="120" w:before="0" w:line="288" w:lineRule="auto"/>
            </w:pPr>
            <w:r>
              <w:rPr>
                <w:rFonts w:ascii="Arial" w:hAnsi="Arial"/>
                <w:color w:val="2D3748"/>
                <w:sz w:val="19"/>
              </w:rPr>
              <w:t>3. "Chúng ta bắt buộc phải mời thêm Trưởng nhóm CSKH tham dự buổi Sprint Review."</w:t>
            </w:r>
          </w:p>
          <w:p>
            <w:pPr>
              <w:spacing w:after="120" w:before="0" w:line="288" w:lineRule="auto"/>
            </w:pPr>
            <w:r>
              <w:rPr>
                <w:rFonts w:ascii="Arial" w:hAnsi="Arial"/>
                <w:color w:val="2D3748"/>
                <w:sz w:val="19"/>
              </w:rPr>
              <w:t>4. "Việc có mặt Trưởng nhóm CSKH là thiết yếu vì họ mang góc nhìn chuyên môn muốn chuyển hội thoại cho nhân viên sớm khi AI không chắc chắn, tạo sự cân bằng thực tế với mong muốn AI tự trả lời nhiều hơn từ phía Chủ cửa hàng, giúp sản phẩm đạt đúng Sprint Goal là vận hành an toàn."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