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b/>
          <w:color w:val="1B5E20"/>
          <w:sz w:val="34"/>
        </w:rPr>
        <w:t>TÀI LIỆU QUẢN LÝ PRODUCT BACKLOG &amp; VẬN HÀNH AGILE</w:t>
      </w:r>
    </w:p>
    <w:p>
      <w:pPr>
        <w:spacing w:after="240"/>
        <w:jc w:val="center"/>
      </w:pPr>
      <w:r>
        <w:rPr>
          <w:b/>
          <w:color w:val="2E7D32"/>
          <w:sz w:val="24"/>
        </w:rPr>
        <w:t>CHƯƠNG TRÌNH KHÁCH HÀNG THÂN THIẾT: GREENMART LOYALTY</w:t>
      </w:r>
    </w:p>
    <w:tbl>
      <w:tblPr>
        <w:tblW w:type="auto" w:w="0"/>
        <w:jc w:val="center"/>
        <w:tblLook w:firstColumn="1" w:firstRow="1" w:lastColumn="0" w:lastRow="0" w:noHBand="0" w:noVBand="1" w:val="04A0"/>
      </w:tblPr>
      <w:tblGrid>
        <w:gridCol w:w="4896"/>
        <w:gridCol w:w="4896"/>
      </w:tblGrid>
      <w:tr>
        <w:tc>
          <w:tcPr>
            <w:tcW w:type="dxa" w:w="2592"/>
            <w:shd w:val="clear" w:color="auto" w:fill="F0F4F0"/>
            <w:tcMar>
              <w:top w:w="70" w:type="dxa"/>
              <w:bottom w:w="70" w:type="dxa"/>
              <w:left w:w="100" w:type="dxa"/>
              <w:right w:w="100" w:type="dxa"/>
            </w:tcMar>
          </w:tcPr>
          <w:p>
            <w:r>
              <w:rPr>
                <w:b/>
                <w:sz w:val="19"/>
              </w:rPr>
              <w:t>Dự án / Module:</w:t>
            </w:r>
          </w:p>
        </w:tc>
        <w:tc>
          <w:tcPr>
            <w:tcW w:type="dxa" w:w="7056"/>
            <w:shd w:val="clear" w:color="auto" w:fill="FAFCFA"/>
            <w:tcMar>
              <w:top w:w="70" w:type="dxa"/>
              <w:bottom w:w="70" w:type="dxa"/>
              <w:left w:w="100" w:type="dxa"/>
              <w:right w:w="100" w:type="dxa"/>
            </w:tcMar>
          </w:tcPr>
          <w:p>
            <w:r>
              <w:rPr>
                <w:sz w:val="19"/>
              </w:rPr>
              <w:t>Hệ thống quản lý khách hàng thân thiết — GreenMart Loyalty (Omnichannel)</w:t>
            </w:r>
          </w:p>
        </w:tc>
      </w:tr>
      <w:tr>
        <w:tc>
          <w:tcPr>
            <w:tcW w:type="dxa" w:w="2592"/>
            <w:shd w:val="clear" w:color="auto" w:fill="F0F4F0"/>
            <w:tcMar>
              <w:top w:w="70" w:type="dxa"/>
              <w:bottom w:w="70" w:type="dxa"/>
              <w:left w:w="100" w:type="dxa"/>
              <w:right w:w="100" w:type="dxa"/>
            </w:tcMar>
          </w:tcPr>
          <w:p>
            <w:r>
              <w:rPr>
                <w:b/>
                <w:sz w:val="19"/>
              </w:rPr>
              <w:t>Thời lượng thực hiện:</w:t>
            </w:r>
          </w:p>
        </w:tc>
        <w:tc>
          <w:tcPr>
            <w:tcW w:type="dxa" w:w="7056"/>
            <w:shd w:val="clear" w:color="auto" w:fill="FAFCFA"/>
            <w:tcMar>
              <w:top w:w="70" w:type="dxa"/>
              <w:bottom w:w="70" w:type="dxa"/>
              <w:left w:w="100" w:type="dxa"/>
              <w:right w:w="100" w:type="dxa"/>
            </w:tcMar>
          </w:tcPr>
          <w:p>
            <w:r>
              <w:rPr>
                <w:sz w:val="19"/>
              </w:rPr>
              <w:t>Giai đoạn triển khai gói gọn trong 8 tuần (chia thành 4 Sprints, 2 tuần/Sprint)</w:t>
            </w:r>
          </w:p>
        </w:tc>
      </w:tr>
      <w:tr>
        <w:tc>
          <w:tcPr>
            <w:tcW w:type="dxa" w:w="2592"/>
            <w:shd w:val="clear" w:color="auto" w:fill="F0F4F0"/>
            <w:tcMar>
              <w:top w:w="70" w:type="dxa"/>
              <w:bottom w:w="70" w:type="dxa"/>
              <w:left w:w="100" w:type="dxa"/>
              <w:right w:w="100" w:type="dxa"/>
            </w:tcMar>
          </w:tcPr>
          <w:p>
            <w:r>
              <w:rPr>
                <w:b/>
                <w:sz w:val="19"/>
              </w:rPr>
              <w:t>Đơn vị triển khai:</w:t>
            </w:r>
          </w:p>
        </w:tc>
        <w:tc>
          <w:tcPr>
            <w:tcW w:type="dxa" w:w="7056"/>
            <w:shd w:val="clear" w:color="auto" w:fill="FAFCFA"/>
            <w:tcMar>
              <w:top w:w="70" w:type="dxa"/>
              <w:bottom w:w="70" w:type="dxa"/>
              <w:left w:w="100" w:type="dxa"/>
              <w:right w:w="100" w:type="dxa"/>
            </w:tcMar>
          </w:tcPr>
          <w:p>
            <w:r>
              <w:rPr>
                <w:sz w:val="19"/>
              </w:rPr>
              <w:t>Công ty TechViet — Đội Scrum của Hoa (Scrum Master kiêm BA)</w:t>
            </w:r>
          </w:p>
        </w:tc>
      </w:tr>
      <w:tr>
        <w:tc>
          <w:tcPr>
            <w:tcW w:type="dxa" w:w="2592"/>
            <w:shd w:val="clear" w:color="auto" w:fill="F0F4F0"/>
            <w:tcMar>
              <w:top w:w="70" w:type="dxa"/>
              <w:bottom w:w="70" w:type="dxa"/>
              <w:left w:w="100" w:type="dxa"/>
              <w:right w:w="100" w:type="dxa"/>
            </w:tcMar>
          </w:tcPr>
          <w:p>
            <w:r>
              <w:rPr>
                <w:b/>
                <w:sz w:val="19"/>
              </w:rPr>
              <w:t>Bối cảnh nghiệp vụ:</w:t>
            </w:r>
          </w:p>
        </w:tc>
        <w:tc>
          <w:tcPr>
            <w:tcW w:type="dxa" w:w="7056"/>
            <w:shd w:val="clear" w:color="auto" w:fill="FAFCFA"/>
            <w:tcMar>
              <w:top w:w="70" w:type="dxa"/>
              <w:bottom w:w="70" w:type="dxa"/>
              <w:left w:w="100" w:type="dxa"/>
              <w:right w:w="100" w:type="dxa"/>
            </w:tcMar>
          </w:tcPr>
          <w:p>
            <w:r>
              <w:rPr>
                <w:sz w:val="19"/>
              </w:rPr>
              <w:t>Tích/đổi điểm giữ chân khách hàng cũ, bảo đảm minh bạch số liệu cho Kế toán và tối ưu UX</w:t>
            </w:r>
          </w:p>
        </w:tc>
      </w:tr>
    </w:tbl>
    <w:p>
      <w:pPr>
        <w:spacing w:after="120"/>
      </w:pPr>
    </w:p>
    <w:p>
      <w:pPr>
        <w:keepNext/>
        <w:spacing w:before="280" w:after="100"/>
      </w:pPr>
      <w:r>
        <w:rPr>
          <w:b/>
          <w:color w:val="1B5E20"/>
          <w:sz w:val="28"/>
        </w:rPr>
        <w:t>PHẦN A: THIẾT KẾ VẬN HÀNH SCRUM</w:t>
      </w:r>
    </w:p>
    <w:p>
      <w:pPr>
        <w:keepNext/>
        <w:spacing w:before="200" w:after="60"/>
      </w:pPr>
      <w:r>
        <w:rPr>
          <w:b/>
          <w:color w:val="2E7D32"/>
          <w:sz w:val="24"/>
        </w:rPr>
        <w:t>1. Lựa chọn độ dài Sprint cố định</w:t>
      </w:r>
    </w:p>
    <w:p>
      <w:pPr>
        <w:spacing w:after="120"/>
      </w:pPr>
      <w:r>
        <w:t>Đội ngũ quyết định chọn độ dài Sprint cố định là 2 tuần (toàn bộ giai đoạn 8 tuần gồm chính xác 4 Sprints: Sprint 1 đến Sprint 4). Lý do lựa chọn: Khung thời gian 2 tuần là điểm cân bằng lý tưởng giúp tạo ra một Increment phần mềm chạy được (working increment) vừa vặn với các nghiệp vụ tài chính - tích điểm phức tạp, đồng thời tạo vòng phản hồi đủ ngắn để tiếp nhận và thích ứng kịp thời với các điều chỉnh chiến lược từ phòng Marketing và Kế toán mà không phá vỡ tiến độ chung của dự án.</w:t>
      </w:r>
    </w:p>
    <w:p>
      <w:pPr>
        <w:keepNext/>
        <w:spacing w:before="200" w:after="60"/>
      </w:pPr>
      <w:r>
        <w:rPr>
          <w:b/>
          <w:color w:val="2E7D32"/>
          <w:sz w:val="24"/>
        </w:rPr>
        <w:t>2. Bảng phân định 3 vai trò Scrum trong giai đoạn Loyalty</w:t>
      </w:r>
    </w:p>
    <w:p>
      <w:r>
        <w:t>Mô hình phân công trách nhiệm rõ ràng cho đội Scrum của Hoa nhằm bảo đảm tính tự chủ và kỷ luật quy trình:</w:t>
      </w:r>
    </w:p>
    <w:tbl>
      <w:tblPr>
        <w:tblW w:type="auto" w:w="0"/>
        <w:jc w:val="center"/>
        <w:tblLook w:firstColumn="1" w:firstRow="1" w:lastColumn="0" w:lastRow="0" w:noHBand="0" w:noVBand="1" w:val="04A0"/>
      </w:tblPr>
      <w:tblGrid>
        <w:gridCol w:w="3264"/>
        <w:gridCol w:w="3264"/>
        <w:gridCol w:w="3264"/>
      </w:tblGrid>
      <w:tr>
        <w:tc>
          <w:tcPr>
            <w:tcW w:type="dxa" w:w="3264"/>
            <w:shd w:val="clear" w:color="auto" w:fill="E8F5E9"/>
            <w:tcMar>
              <w:top w:w="90" w:type="dxa"/>
              <w:bottom w:w="90" w:type="dxa"/>
              <w:left w:w="80" w:type="dxa"/>
              <w:right w:w="80" w:type="dxa"/>
            </w:tcMar>
          </w:tcPr>
          <w:p>
            <w:pPr>
              <w:jc w:val="center"/>
            </w:pPr>
            <w:r>
              <w:rPr>
                <w:b/>
                <w:sz w:val="19"/>
              </w:rPr>
              <w:t>Vai trò Scrum</w:t>
            </w:r>
          </w:p>
        </w:tc>
        <w:tc>
          <w:tcPr>
            <w:tcW w:type="dxa" w:w="3264"/>
            <w:shd w:val="clear" w:color="auto" w:fill="E8F5E9"/>
            <w:tcMar>
              <w:top w:w="90" w:type="dxa"/>
              <w:bottom w:w="90" w:type="dxa"/>
              <w:left w:w="80" w:type="dxa"/>
              <w:right w:w="80" w:type="dxa"/>
            </w:tcMar>
          </w:tcPr>
          <w:p>
            <w:pPr>
              <w:jc w:val="center"/>
            </w:pPr>
            <w:r>
              <w:rPr>
                <w:b/>
                <w:sz w:val="19"/>
              </w:rPr>
              <w:t>Chủ thể đảm nhận</w:t>
            </w:r>
          </w:p>
        </w:tc>
        <w:tc>
          <w:tcPr>
            <w:tcW w:type="dxa" w:w="3264"/>
            <w:shd w:val="clear" w:color="auto" w:fill="E8F5E9"/>
            <w:tcMar>
              <w:top w:w="90" w:type="dxa"/>
              <w:bottom w:w="90" w:type="dxa"/>
              <w:left w:w="80" w:type="dxa"/>
              <w:right w:w="80" w:type="dxa"/>
            </w:tcMar>
          </w:tcPr>
          <w:p>
            <w:pPr>
              <w:jc w:val="center"/>
            </w:pPr>
            <w:r>
              <w:rPr>
                <w:b/>
                <w:sz w:val="19"/>
              </w:rPr>
              <w:t>Trách nhiệm chính trong giai đoạn Loyalty</w:t>
            </w:r>
          </w:p>
        </w:tc>
      </w:tr>
      <w:tr>
        <w:tc>
          <w:tcPr>
            <w:tcW w:type="dxa" w:w="3264"/>
            <w:tcMar>
              <w:top w:w="80" w:type="dxa"/>
              <w:bottom w:w="80" w:type="dxa"/>
              <w:left w:w="80" w:type="dxa"/>
              <w:right w:w="80" w:type="dxa"/>
            </w:tcMar>
            <w:shd w:val="clear" w:color="auto" w:fill="FAFCFA"/>
          </w:tcPr>
          <w:p>
            <w:pPr>
              <w:jc w:val="center"/>
            </w:pPr>
            <w:r>
              <w:rPr>
                <w:sz w:val="17"/>
              </w:rPr>
              <w:t>Product Owner (PO)</w:t>
            </w:r>
          </w:p>
        </w:tc>
        <w:tc>
          <w:tcPr>
            <w:tcW w:type="dxa" w:w="3264"/>
            <w:tcMar>
              <w:top w:w="80" w:type="dxa"/>
              <w:bottom w:w="80" w:type="dxa"/>
              <w:left w:w="80" w:type="dxa"/>
              <w:right w:w="80" w:type="dxa"/>
            </w:tcMar>
            <w:shd w:val="clear" w:color="auto" w:fill="FAFCFA"/>
          </w:tcPr>
          <w:p>
            <w:pPr>
              <w:jc w:val="center"/>
            </w:pPr>
            <w:r>
              <w:rPr>
                <w:sz w:val="17"/>
              </w:rPr>
              <w:t>Đại diện PO TechViet / Phía GreenMart</w:t>
            </w:r>
          </w:p>
        </w:tc>
        <w:tc>
          <w:tcPr>
            <w:tcW w:type="dxa" w:w="3264"/>
            <w:tcMar>
              <w:top w:w="80" w:type="dxa"/>
              <w:bottom w:w="80" w:type="dxa"/>
              <w:left w:w="80" w:type="dxa"/>
              <w:right w:w="80" w:type="dxa"/>
            </w:tcMar>
            <w:shd w:val="clear" w:color="auto" w:fill="FAFCFA"/>
          </w:tcPr>
          <w:p>
            <w:r>
              <w:rPr>
                <w:sz w:val="17"/>
              </w:rPr>
              <w:t>• Chịu trách nhiệm tối đa hóa giá trị sản phẩm chương trình Loyalty.</w:t>
              <w:br/>
              <w:t>• Quản lý và làm chủ Product Backlog: định nghĩa User Story, quyết định thứ tự ưu tiên các yêu cầu từ Marketing &amp; Kế toán.</w:t>
              <w:br/>
              <w:t>• Nghiệm thu tính năng (Accept/Reject) dựa trên Acceptance Criteria tại buổi Sprint Review.</w:t>
              <w:br/>
              <w:t>• Là đầu mối duy nhất quyết định phạm vi phát hành (Release) ra thị trường.</w:t>
            </w:r>
          </w:p>
        </w:tc>
      </w:tr>
      <w:tr>
        <w:tc>
          <w:tcPr>
            <w:tcW w:type="dxa" w:w="3264"/>
            <w:tcMar>
              <w:top w:w="80" w:type="dxa"/>
              <w:bottom w:w="80" w:type="dxa"/>
              <w:left w:w="80" w:type="dxa"/>
              <w:right w:w="80" w:type="dxa"/>
            </w:tcMar>
          </w:tcPr>
          <w:p>
            <w:pPr>
              <w:jc w:val="center"/>
            </w:pPr>
            <w:r>
              <w:rPr>
                <w:sz w:val="17"/>
              </w:rPr>
              <w:t>Scrum Master kiêm BA</w:t>
            </w:r>
          </w:p>
        </w:tc>
        <w:tc>
          <w:tcPr>
            <w:tcW w:type="dxa" w:w="3264"/>
            <w:tcMar>
              <w:top w:w="80" w:type="dxa"/>
              <w:bottom w:w="80" w:type="dxa"/>
              <w:left w:w="80" w:type="dxa"/>
              <w:right w:w="80" w:type="dxa"/>
            </w:tcMar>
          </w:tcPr>
          <w:p>
            <w:pPr>
              <w:jc w:val="center"/>
            </w:pPr>
            <w:r>
              <w:rPr>
                <w:sz w:val="17"/>
              </w:rPr>
              <w:t>Hoa</w:t>
            </w:r>
          </w:p>
        </w:tc>
        <w:tc>
          <w:tcPr>
            <w:tcW w:type="dxa" w:w="3264"/>
            <w:tcMar>
              <w:top w:w="80" w:type="dxa"/>
              <w:bottom w:w="80" w:type="dxa"/>
              <w:left w:w="80" w:type="dxa"/>
              <w:right w:w="80" w:type="dxa"/>
            </w:tcMar>
          </w:tcPr>
          <w:p>
            <w:r>
              <w:rPr>
                <w:sz w:val="17"/>
              </w:rPr>
              <w:t>• Vận hành khung Scrum: Đảm bảo các sự kiện Scrum diễn ra đúng time-box, bảo vệ Development Team khỏi các xáo trộn ngoài luồng giữa Sprint.</w:t>
              <w:br/>
              <w:t>• Tháo gỡ các trở ngại (Impediments) kỹ thuật, liên phòng ban (giữa Dev và Kế toán/Marketing).</w:t>
              <w:br/>
              <w:t>• Vai trò BA: Khảo sát, đào sâu và làm rõ quy tắc nghiệp vụ (tỷ lệ tích/đổi điểm, bẫy dữ liệu hoàn hủy, đối soát kế toán), hỗ trợ PO viết User Story và Acceptance Criteria chuẩn xác.</w:t>
            </w:r>
          </w:p>
        </w:tc>
      </w:tr>
      <w:tr>
        <w:tc>
          <w:tcPr>
            <w:tcW w:type="dxa" w:w="3264"/>
            <w:tcMar>
              <w:top w:w="80" w:type="dxa"/>
              <w:bottom w:w="80" w:type="dxa"/>
              <w:left w:w="80" w:type="dxa"/>
              <w:right w:w="80" w:type="dxa"/>
            </w:tcMar>
            <w:shd w:val="clear" w:color="auto" w:fill="FAFCFA"/>
          </w:tcPr>
          <w:p>
            <w:pPr>
              <w:jc w:val="center"/>
            </w:pPr>
            <w:r>
              <w:rPr>
                <w:sz w:val="17"/>
              </w:rPr>
              <w:t>Development Team</w:t>
            </w:r>
          </w:p>
        </w:tc>
        <w:tc>
          <w:tcPr>
            <w:tcW w:type="dxa" w:w="3264"/>
            <w:tcMar>
              <w:top w:w="80" w:type="dxa"/>
              <w:bottom w:w="80" w:type="dxa"/>
              <w:left w:w="80" w:type="dxa"/>
              <w:right w:w="80" w:type="dxa"/>
            </w:tcMar>
            <w:shd w:val="clear" w:color="auto" w:fill="FAFCFA"/>
          </w:tcPr>
          <w:p>
            <w:pPr>
              <w:jc w:val="center"/>
            </w:pPr>
            <w:r>
              <w:rPr>
                <w:sz w:val="17"/>
              </w:rPr>
              <w:t>Các Lập trình viên &amp; Kiểm thử viên (Devs &amp; QA/QC)</w:t>
            </w:r>
          </w:p>
        </w:tc>
        <w:tc>
          <w:tcPr>
            <w:tcW w:type="dxa" w:w="3264"/>
            <w:tcMar>
              <w:top w:w="80" w:type="dxa"/>
              <w:bottom w:w="80" w:type="dxa"/>
              <w:left w:w="80" w:type="dxa"/>
              <w:right w:w="80" w:type="dxa"/>
            </w:tcMar>
            <w:shd w:val="clear" w:color="auto" w:fill="FAFCFA"/>
          </w:tcPr>
          <w:p>
            <w:r>
              <w:rPr>
                <w:sz w:val="17"/>
              </w:rPr>
              <w:t>• Tự tổ chức (Self-organizing) và ước lượng khối lượng công việc (Story Points) trong Sprint Backlog.</w:t>
              <w:br/>
              <w:t>• Thiết kế kiến trúc kỹ thuật, xây dựng cơ sở dữ liệu điểm thưởng, lập trình API tích/đổi/thu hồi điểm và giao diện người dùng.</w:t>
              <w:br/>
              <w:t>• Thực hiện kiểm thử toàn diện (Unit, Integration, System, Performance Test), đảm bảo sản phẩm đạt trọn vẹn Definition of Done trước buổi Demo.</w:t>
            </w:r>
          </w:p>
        </w:tc>
      </w:tr>
    </w:tbl>
    <w:p>
      <w:pPr>
        <w:spacing w:after="120"/>
      </w:pPr>
    </w:p>
    <w:p>
      <w:pPr>
        <w:keepNext/>
        <w:spacing w:before="200" w:after="60"/>
      </w:pPr>
      <w:r>
        <w:rPr>
          <w:b/>
          <w:color w:val="2E7D32"/>
          <w:sz w:val="24"/>
        </w:rPr>
        <w:t>3. Sự kiện Scrum quan trọng nhất và Trụ cột Scrum tương ứng</w:t>
      </w:r>
    </w:p>
    <w:p>
      <w:pPr>
        <w:spacing w:after="200"/>
      </w:pPr>
      <w:r>
        <w:t>• Sự kiện quan trọng nhất được chọn: Sprint Review (Đánh giá Sprint - tổ chức cuối mỗi 2 tuần, thời lượng 2 giờ).</w:t>
        <w:br/>
        <w:t>• Trụ cột thể hiện rõ nét nhất: Trụ cột THANH TRA (Inspection) và THÍCH NGHI (Adaptation).</w:t>
        <w:br/>
        <w:t>• Giải thích ngắn gọn: Trong dự án GreenMart Loyalty, nghiệp vụ điểm thưởng chịu sự giám sát trực tiếp từ 2 bên có xung đột mục tiêu (Marketing muốn khuyến mãi linh hoạt, trong khi Kế toán yêu cầu kiểm toán minh bạch, chặt chẽ). Sprint Review là điểm hẹn mấu chốt để các bên cùng trực tiếp thanh tra (Inspect) phần mềm chạy thực tế (Increment), kiểm chứng luồng tiền và điểm đối soát, từ đó nhanh chóng thích nghi (Adapt) bằng cách cập nhật ngay Product Backlog cho Sprint tiếp theo mà không để xảy ra rủi ro thất thoát tài chính kéo dài.</w:t>
      </w:r>
    </w:p>
    <w:p>
      <w:pPr>
        <w:keepNext/>
        <w:spacing w:before="280" w:after="100"/>
      </w:pPr>
      <w:r>
        <w:rPr>
          <w:b/>
          <w:color w:val="1B5E20"/>
          <w:sz w:val="28"/>
        </w:rPr>
        <w:t>PHẦN B: PRODUCT BACKLOG &amp; ƯU TIÊN HÓA BẰNG MOSCOW</w:t>
      </w:r>
    </w:p>
    <w:p>
      <w:pPr>
        <w:keepNext/>
        <w:spacing w:before="200" w:after="60"/>
      </w:pPr>
      <w:r>
        <w:rPr>
          <w:b/>
          <w:color w:val="2E7D32"/>
          <w:sz w:val="24"/>
        </w:rPr>
        <w:t>1. Tiêu chí ưu tiên rõ ràng cho phương pháp MoSCoW</w:t>
      </w:r>
    </w:p>
    <w:p>
      <w:r>
        <w:t>Để việc phân loại MoSCoW khách quan và khoa học, đội ngũ thiết lập ma trận đánh giá dựa trên 3 tiêu chí cốt lõi:</w:t>
        <w:br/>
        <w:t>1. Tính sống còn của dòng nghiệp vụ (Core Transactional Integrity): Nếu thiếu tính năng này, hệ thống tích/đổi điểm có vận hành an toàn và tính đúng số dư cho khách hay không?</w:t>
        <w:br/>
        <w:t>2. Rủi ro gian lận &amp; thất thoát tài chính (Financial &amp; Compliance Risk): Tính năng có ngăn chặn hành vi trục lợi (như nhận điểm rồi hủy đơn) và thỏa mãn yêu cầu kiểm toán sổ sách của Kế toán hay không?</w:t>
        <w:br/>
        <w:t>3. Tác động trực tiếp đến khách hàng (Customer Immediate Value): Mức độ ảnh hưởng tức thì đến trải nghiệm và lòng tin của người dùng.</w:t>
      </w:r>
    </w:p>
    <w:p>
      <w:pPr>
        <w:keepNext/>
        <w:spacing w:before="200" w:after="60"/>
      </w:pPr>
      <w:r>
        <w:rPr>
          <w:b/>
          <w:color w:val="2E7D32"/>
          <w:sz w:val="24"/>
        </w:rPr>
        <w:t>2. Bảng Product Backlog chương trình GreenMart Loyalty (7 hạng mục)</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E8F5E9"/>
            <w:tcMar>
              <w:top w:w="90" w:type="dxa"/>
              <w:bottom w:w="90" w:type="dxa"/>
              <w:left w:w="80" w:type="dxa"/>
              <w:right w:w="80" w:type="dxa"/>
            </w:tcMar>
          </w:tcPr>
          <w:p>
            <w:pPr>
              <w:jc w:val="center"/>
            </w:pPr>
            <w:r>
              <w:rPr>
                <w:b/>
                <w:sz w:val="19"/>
              </w:rPr>
              <w:t>Mã PB</w:t>
            </w:r>
          </w:p>
        </w:tc>
        <w:tc>
          <w:tcPr>
            <w:tcW w:type="dxa" w:w="1958"/>
            <w:shd w:val="clear" w:color="auto" w:fill="E8F5E9"/>
            <w:tcMar>
              <w:top w:w="90" w:type="dxa"/>
              <w:bottom w:w="90" w:type="dxa"/>
              <w:left w:w="80" w:type="dxa"/>
              <w:right w:w="80" w:type="dxa"/>
            </w:tcMar>
          </w:tcPr>
          <w:p>
            <w:pPr>
              <w:jc w:val="center"/>
            </w:pPr>
            <w:r>
              <w:rPr>
                <w:b/>
                <w:sz w:val="19"/>
              </w:rPr>
              <w:t>Hạng mục (User Story)</w:t>
            </w:r>
          </w:p>
        </w:tc>
        <w:tc>
          <w:tcPr>
            <w:tcW w:type="dxa" w:w="1958"/>
            <w:shd w:val="clear" w:color="auto" w:fill="E8F5E9"/>
            <w:tcMar>
              <w:top w:w="90" w:type="dxa"/>
              <w:bottom w:w="90" w:type="dxa"/>
              <w:left w:w="80" w:type="dxa"/>
              <w:right w:w="80" w:type="dxa"/>
            </w:tcMar>
          </w:tcPr>
          <w:p>
            <w:pPr>
              <w:jc w:val="center"/>
            </w:pPr>
            <w:r>
              <w:rPr>
                <w:b/>
                <w:sz w:val="19"/>
              </w:rPr>
              <w:t>Mô tả tóm tắt nghiệp vụ &amp; Giá trị</w:t>
            </w:r>
          </w:p>
        </w:tc>
        <w:tc>
          <w:tcPr>
            <w:tcW w:type="dxa" w:w="1958"/>
            <w:shd w:val="clear" w:color="auto" w:fill="E8F5E9"/>
            <w:tcMar>
              <w:top w:w="90" w:type="dxa"/>
              <w:bottom w:w="90" w:type="dxa"/>
              <w:left w:w="80" w:type="dxa"/>
              <w:right w:w="80" w:type="dxa"/>
            </w:tcMar>
          </w:tcPr>
          <w:p>
            <w:pPr>
              <w:jc w:val="center"/>
            </w:pPr>
            <w:r>
              <w:rPr>
                <w:b/>
                <w:sz w:val="19"/>
              </w:rPr>
              <w:t>Phân loại MoSCoW</w:t>
            </w:r>
          </w:p>
        </w:tc>
        <w:tc>
          <w:tcPr>
            <w:tcW w:type="dxa" w:w="1958"/>
            <w:shd w:val="clear" w:color="auto" w:fill="E8F5E9"/>
            <w:tcMar>
              <w:top w:w="90" w:type="dxa"/>
              <w:bottom w:w="90" w:type="dxa"/>
              <w:left w:w="80" w:type="dxa"/>
              <w:right w:w="80" w:type="dxa"/>
            </w:tcMar>
          </w:tcPr>
          <w:p>
            <w:pPr>
              <w:jc w:val="center"/>
            </w:pPr>
            <w:r>
              <w:rPr>
                <w:b/>
                <w:sz w:val="19"/>
              </w:rPr>
              <w:t>Lý do xếp loại theo tiêu chí</w:t>
            </w:r>
          </w:p>
        </w:tc>
      </w:tr>
      <w:tr>
        <w:tc>
          <w:tcPr>
            <w:tcW w:type="dxa" w:w="1958"/>
            <w:tcMar>
              <w:top w:w="80" w:type="dxa"/>
              <w:bottom w:w="80" w:type="dxa"/>
              <w:left w:w="80" w:type="dxa"/>
              <w:right w:w="80" w:type="dxa"/>
            </w:tcMar>
            <w:shd w:val="clear" w:color="auto" w:fill="FAFCFA"/>
          </w:tcPr>
          <w:p>
            <w:pPr>
              <w:jc w:val="center"/>
            </w:pPr>
            <w:r>
              <w:rPr>
                <w:sz w:val="17"/>
              </w:rPr>
              <w:t>PB-01</w:t>
            </w:r>
          </w:p>
        </w:tc>
        <w:tc>
          <w:tcPr>
            <w:tcW w:type="dxa" w:w="1958"/>
            <w:tcMar>
              <w:top w:w="80" w:type="dxa"/>
              <w:bottom w:w="80" w:type="dxa"/>
              <w:left w:w="80" w:type="dxa"/>
              <w:right w:w="80" w:type="dxa"/>
            </w:tcMar>
            <w:shd w:val="clear" w:color="auto" w:fill="FAFCFA"/>
          </w:tcPr>
          <w:p>
            <w:r>
              <w:rPr>
                <w:sz w:val="17"/>
              </w:rPr>
              <w:t>Tích điểm tự động sau khi thanh toán thành công</w:t>
            </w:r>
          </w:p>
        </w:tc>
        <w:tc>
          <w:tcPr>
            <w:tcW w:type="dxa" w:w="1958"/>
            <w:tcMar>
              <w:top w:w="80" w:type="dxa"/>
              <w:bottom w:w="80" w:type="dxa"/>
              <w:left w:w="80" w:type="dxa"/>
              <w:right w:w="80" w:type="dxa"/>
            </w:tcMar>
            <w:shd w:val="clear" w:color="auto" w:fill="FAFCFA"/>
          </w:tcPr>
          <w:p>
            <w:r>
              <w:rPr>
                <w:sz w:val="17"/>
              </w:rPr>
              <w:t>Hệ thống tự động cộng 1 điểm cho mỗi 10.000đ giá trị đơn hàng thành công (sau khi trừ chiết khấu).</w:t>
            </w:r>
          </w:p>
        </w:tc>
        <w:tc>
          <w:tcPr>
            <w:tcW w:type="dxa" w:w="1958"/>
            <w:tcMar>
              <w:top w:w="80" w:type="dxa"/>
              <w:bottom w:w="80" w:type="dxa"/>
              <w:left w:w="80" w:type="dxa"/>
              <w:right w:w="80" w:type="dxa"/>
            </w:tcMar>
            <w:shd w:val="clear" w:color="auto" w:fill="FAFCFA"/>
          </w:tcPr>
          <w:p>
            <w:pPr>
              <w:jc w:val="center"/>
            </w:pPr>
            <w:r>
              <w:rPr>
                <w:b/>
                <w:color w:val="C62828"/>
                <w:sz w:val="17"/>
              </w:rPr>
              <w:t>MUST HAVE</w:t>
            </w:r>
          </w:p>
        </w:tc>
        <w:tc>
          <w:tcPr>
            <w:tcW w:type="dxa" w:w="1958"/>
            <w:tcMar>
              <w:top w:w="80" w:type="dxa"/>
              <w:bottom w:w="80" w:type="dxa"/>
              <w:left w:w="80" w:type="dxa"/>
              <w:right w:w="80" w:type="dxa"/>
            </w:tcMar>
            <w:shd w:val="clear" w:color="auto" w:fill="FAFCFA"/>
          </w:tcPr>
          <w:p>
            <w:r>
              <w:rPr>
                <w:sz w:val="17"/>
              </w:rPr>
              <w:t>Nghiệp vụ nền tảng số 1. Không có tích điểm thì toàn bộ chương trình Loyalty không thể hoạt động.</w:t>
            </w:r>
          </w:p>
        </w:tc>
      </w:tr>
      <w:tr>
        <w:tc>
          <w:tcPr>
            <w:tcW w:type="dxa" w:w="1958"/>
            <w:tcMar>
              <w:top w:w="80" w:type="dxa"/>
              <w:bottom w:w="80" w:type="dxa"/>
              <w:left w:w="80" w:type="dxa"/>
              <w:right w:w="80" w:type="dxa"/>
            </w:tcMar>
          </w:tcPr>
          <w:p>
            <w:pPr>
              <w:jc w:val="center"/>
            </w:pPr>
            <w:r>
              <w:rPr>
                <w:sz w:val="17"/>
              </w:rPr>
              <w:t>PB-02</w:t>
            </w:r>
          </w:p>
        </w:tc>
        <w:tc>
          <w:tcPr>
            <w:tcW w:type="dxa" w:w="1958"/>
            <w:tcMar>
              <w:top w:w="80" w:type="dxa"/>
              <w:bottom w:w="80" w:type="dxa"/>
              <w:left w:w="80" w:type="dxa"/>
              <w:right w:w="80" w:type="dxa"/>
            </w:tcMar>
          </w:tcPr>
          <w:p>
            <w:r>
              <w:rPr>
                <w:sz w:val="17"/>
              </w:rPr>
              <w:t>Thu hồi điểm tự động khi đơn hàng bị hủy hoặc hoàn trả</w:t>
            </w:r>
          </w:p>
        </w:tc>
        <w:tc>
          <w:tcPr>
            <w:tcW w:type="dxa" w:w="1958"/>
            <w:tcMar>
              <w:top w:w="80" w:type="dxa"/>
              <w:bottom w:w="80" w:type="dxa"/>
              <w:left w:w="80" w:type="dxa"/>
              <w:right w:w="80" w:type="dxa"/>
            </w:tcMar>
          </w:tcPr>
          <w:p>
            <w:r>
              <w:rPr>
                <w:sz w:val="17"/>
              </w:rPr>
              <w:t>Tự động khấu trừ số điểm đã tích tương ứng nếu đơn hàng phát sinh yêu cầu hoàn trả hoặc bị hủy sau giao dịch.</w:t>
            </w:r>
          </w:p>
        </w:tc>
        <w:tc>
          <w:tcPr>
            <w:tcW w:type="dxa" w:w="1958"/>
            <w:tcMar>
              <w:top w:w="80" w:type="dxa"/>
              <w:bottom w:w="80" w:type="dxa"/>
              <w:left w:w="80" w:type="dxa"/>
              <w:right w:w="80" w:type="dxa"/>
            </w:tcMar>
          </w:tcPr>
          <w:p>
            <w:pPr>
              <w:jc w:val="center"/>
            </w:pPr>
            <w:r>
              <w:rPr>
                <w:b/>
                <w:color w:val="C62828"/>
                <w:sz w:val="17"/>
              </w:rPr>
              <w:t>MUST HAVE</w:t>
            </w:r>
          </w:p>
        </w:tc>
        <w:tc>
          <w:tcPr>
            <w:tcW w:type="dxa" w:w="1958"/>
            <w:tcMar>
              <w:top w:w="80" w:type="dxa"/>
              <w:bottom w:w="80" w:type="dxa"/>
              <w:left w:w="80" w:type="dxa"/>
              <w:right w:w="80" w:type="dxa"/>
            </w:tcMar>
          </w:tcPr>
          <w:p>
            <w:r>
              <w:rPr>
                <w:sz w:val="17"/>
              </w:rPr>
              <w:t>Chặn đứng rủi ro gian lận và thất thoát tài chính (khách mua hàng lấy điểm rồi trả hàng rút tiền mặt). Yêu cầu bắt buộc từ Kế toán.</w:t>
            </w:r>
          </w:p>
        </w:tc>
      </w:tr>
      <w:tr>
        <w:tc>
          <w:tcPr>
            <w:tcW w:type="dxa" w:w="1958"/>
            <w:tcMar>
              <w:top w:w="80" w:type="dxa"/>
              <w:bottom w:w="80" w:type="dxa"/>
              <w:left w:w="80" w:type="dxa"/>
              <w:right w:w="80" w:type="dxa"/>
            </w:tcMar>
            <w:shd w:val="clear" w:color="auto" w:fill="FAFCFA"/>
          </w:tcPr>
          <w:p>
            <w:pPr>
              <w:jc w:val="center"/>
            </w:pPr>
            <w:r>
              <w:rPr>
                <w:sz w:val="17"/>
              </w:rPr>
              <w:t>PB-03</w:t>
            </w:r>
          </w:p>
        </w:tc>
        <w:tc>
          <w:tcPr>
            <w:tcW w:type="dxa" w:w="1958"/>
            <w:tcMar>
              <w:top w:w="80" w:type="dxa"/>
              <w:bottom w:w="80" w:type="dxa"/>
              <w:left w:w="80" w:type="dxa"/>
              <w:right w:w="80" w:type="dxa"/>
            </w:tcMar>
            <w:shd w:val="clear" w:color="auto" w:fill="FAFCFA"/>
          </w:tcPr>
          <w:p>
            <w:r>
              <w:rPr>
                <w:sz w:val="17"/>
              </w:rPr>
              <w:t>Đổi điểm tích lũy lấy mã giảm giá khi thanh toán</w:t>
            </w:r>
          </w:p>
        </w:tc>
        <w:tc>
          <w:tcPr>
            <w:tcW w:type="dxa" w:w="1958"/>
            <w:tcMar>
              <w:top w:w="80" w:type="dxa"/>
              <w:bottom w:w="80" w:type="dxa"/>
              <w:left w:w="80" w:type="dxa"/>
              <w:right w:w="80" w:type="dxa"/>
            </w:tcMar>
            <w:shd w:val="clear" w:color="auto" w:fill="FAFCFA"/>
          </w:tcPr>
          <w:p>
            <w:r>
              <w:rPr>
                <w:sz w:val="17"/>
              </w:rPr>
              <w:t>Cho phép khách đổi 100 điểm = 20.000đ trừ trực tiếp vào đơn hàng mới, kiểm tra số dư điểm khả dụng.</w:t>
            </w:r>
          </w:p>
        </w:tc>
        <w:tc>
          <w:tcPr>
            <w:tcW w:type="dxa" w:w="1958"/>
            <w:tcMar>
              <w:top w:w="80" w:type="dxa"/>
              <w:bottom w:w="80" w:type="dxa"/>
              <w:left w:w="80" w:type="dxa"/>
              <w:right w:w="80" w:type="dxa"/>
            </w:tcMar>
            <w:shd w:val="clear" w:color="auto" w:fill="FAFCFA"/>
          </w:tcPr>
          <w:p>
            <w:pPr>
              <w:jc w:val="center"/>
            </w:pPr>
            <w:r>
              <w:rPr>
                <w:b/>
                <w:color w:val="E65100"/>
                <w:sz w:val="17"/>
              </w:rPr>
              <w:t>SHOULD HAVE</w:t>
            </w:r>
          </w:p>
        </w:tc>
        <w:tc>
          <w:tcPr>
            <w:tcW w:type="dxa" w:w="1958"/>
            <w:tcMar>
              <w:top w:w="80" w:type="dxa"/>
              <w:bottom w:w="80" w:type="dxa"/>
              <w:left w:w="80" w:type="dxa"/>
              <w:right w:w="80" w:type="dxa"/>
            </w:tcMar>
            <w:shd w:val="clear" w:color="auto" w:fill="FAFCFA"/>
          </w:tcPr>
          <w:p>
            <w:r>
              <w:rPr>
                <w:sz w:val="17"/>
              </w:rPr>
              <w:t>Mang lại giá trị giữ chân khách hàng (khách thấy được lợi ích của điểm). Cực kỳ quan trọng nhưng phụ thuộc vào việc đã có điểm tích lũy.</w:t>
            </w:r>
          </w:p>
        </w:tc>
      </w:tr>
      <w:tr>
        <w:tc>
          <w:tcPr>
            <w:tcW w:type="dxa" w:w="1958"/>
            <w:tcMar>
              <w:top w:w="80" w:type="dxa"/>
              <w:bottom w:w="80" w:type="dxa"/>
              <w:left w:w="80" w:type="dxa"/>
              <w:right w:w="80" w:type="dxa"/>
            </w:tcMar>
          </w:tcPr>
          <w:p>
            <w:pPr>
              <w:jc w:val="center"/>
            </w:pPr>
            <w:r>
              <w:rPr>
                <w:sz w:val="17"/>
              </w:rPr>
              <w:t>PB-04</w:t>
            </w:r>
          </w:p>
        </w:tc>
        <w:tc>
          <w:tcPr>
            <w:tcW w:type="dxa" w:w="1958"/>
            <w:tcMar>
              <w:top w:w="80" w:type="dxa"/>
              <w:bottom w:w="80" w:type="dxa"/>
              <w:left w:w="80" w:type="dxa"/>
              <w:right w:w="80" w:type="dxa"/>
            </w:tcMar>
          </w:tcPr>
          <w:p>
            <w:r>
              <w:rPr>
                <w:sz w:val="17"/>
              </w:rPr>
              <w:t>Xem lịch sử biến động điểm và thời hạn sử dụng</w:t>
            </w:r>
          </w:p>
        </w:tc>
        <w:tc>
          <w:tcPr>
            <w:tcW w:type="dxa" w:w="1958"/>
            <w:tcMar>
              <w:top w:w="80" w:type="dxa"/>
              <w:bottom w:w="80" w:type="dxa"/>
              <w:left w:w="80" w:type="dxa"/>
              <w:right w:w="80" w:type="dxa"/>
            </w:tcMar>
          </w:tcPr>
          <w:p>
            <w:r>
              <w:rPr>
                <w:sz w:val="17"/>
              </w:rPr>
              <w:t>Giao diện minh bạch hiển thị chi tiết các giao dịch cộng/trừ điểm kèm ngày giao dịch và hạn dùng 12 tháng.</w:t>
            </w:r>
          </w:p>
        </w:tc>
        <w:tc>
          <w:tcPr>
            <w:tcW w:type="dxa" w:w="1958"/>
            <w:tcMar>
              <w:top w:w="80" w:type="dxa"/>
              <w:bottom w:w="80" w:type="dxa"/>
              <w:left w:w="80" w:type="dxa"/>
              <w:right w:w="80" w:type="dxa"/>
            </w:tcMar>
          </w:tcPr>
          <w:p>
            <w:pPr>
              <w:jc w:val="center"/>
            </w:pPr>
            <w:r>
              <w:rPr>
                <w:b/>
                <w:color w:val="E65100"/>
                <w:sz w:val="17"/>
              </w:rPr>
              <w:t>SHOULD HAVE</w:t>
            </w:r>
          </w:p>
        </w:tc>
        <w:tc>
          <w:tcPr>
            <w:tcW w:type="dxa" w:w="1958"/>
            <w:tcMar>
              <w:top w:w="80" w:type="dxa"/>
              <w:bottom w:w="80" w:type="dxa"/>
              <w:left w:w="80" w:type="dxa"/>
              <w:right w:w="80" w:type="dxa"/>
            </w:tcMar>
          </w:tcPr>
          <w:p>
            <w:r>
              <w:rPr>
                <w:sz w:val="17"/>
              </w:rPr>
              <w:t>Tăng tính minh bạch và trải nghiệm người dùng theo yêu cầu bài toán, giúp giảm tải thắc mắc/khiếu nại gửi về CSKH.</w:t>
            </w:r>
          </w:p>
        </w:tc>
      </w:tr>
      <w:tr>
        <w:tc>
          <w:tcPr>
            <w:tcW w:type="dxa" w:w="1958"/>
            <w:tcMar>
              <w:top w:w="80" w:type="dxa"/>
              <w:bottom w:w="80" w:type="dxa"/>
              <w:left w:w="80" w:type="dxa"/>
              <w:right w:w="80" w:type="dxa"/>
            </w:tcMar>
            <w:shd w:val="clear" w:color="auto" w:fill="FAFCFA"/>
          </w:tcPr>
          <w:p>
            <w:pPr>
              <w:jc w:val="center"/>
            </w:pPr>
            <w:r>
              <w:rPr>
                <w:sz w:val="17"/>
              </w:rPr>
              <w:t>PB-05</w:t>
            </w:r>
          </w:p>
        </w:tc>
        <w:tc>
          <w:tcPr>
            <w:tcW w:type="dxa" w:w="1958"/>
            <w:tcMar>
              <w:top w:w="80" w:type="dxa"/>
              <w:bottom w:w="80" w:type="dxa"/>
              <w:left w:w="80" w:type="dxa"/>
              <w:right w:w="80" w:type="dxa"/>
            </w:tcMar>
            <w:shd w:val="clear" w:color="auto" w:fill="FAFCFA"/>
          </w:tcPr>
          <w:p>
            <w:r>
              <w:rPr>
                <w:sz w:val="17"/>
              </w:rPr>
              <w:t>Cơ chế tự động hết hạn và xóa điểm sau 12 tháng</w:t>
            </w:r>
          </w:p>
        </w:tc>
        <w:tc>
          <w:tcPr>
            <w:tcW w:type="dxa" w:w="1958"/>
            <w:tcMar>
              <w:top w:w="80" w:type="dxa"/>
              <w:bottom w:w="80" w:type="dxa"/>
              <w:left w:w="80" w:type="dxa"/>
              <w:right w:w="80" w:type="dxa"/>
            </w:tcMar>
            <w:shd w:val="clear" w:color="auto" w:fill="FAFCFA"/>
          </w:tcPr>
          <w:p>
            <w:r>
              <w:rPr>
                <w:sz w:val="17"/>
              </w:rPr>
              <w:t>Batch job quét hàng đêm, tự động khấu trừ các điểm tích lũy đã quá hạn 12 tháng kể từ ngày giao dịch.</w:t>
            </w:r>
          </w:p>
        </w:tc>
        <w:tc>
          <w:tcPr>
            <w:tcW w:type="dxa" w:w="1958"/>
            <w:tcMar>
              <w:top w:w="80" w:type="dxa"/>
              <w:bottom w:w="80" w:type="dxa"/>
              <w:left w:w="80" w:type="dxa"/>
              <w:right w:w="80" w:type="dxa"/>
            </w:tcMar>
            <w:shd w:val="clear" w:color="auto" w:fill="FAFCFA"/>
          </w:tcPr>
          <w:p>
            <w:pPr>
              <w:jc w:val="center"/>
            </w:pPr>
            <w:r>
              <w:rPr>
                <w:b/>
                <w:color w:val="2E7D32"/>
                <w:sz w:val="17"/>
              </w:rPr>
              <w:t>COULD HAVE</w:t>
            </w:r>
          </w:p>
        </w:tc>
        <w:tc>
          <w:tcPr>
            <w:tcW w:type="dxa" w:w="1958"/>
            <w:tcMar>
              <w:top w:w="80" w:type="dxa"/>
              <w:bottom w:w="80" w:type="dxa"/>
              <w:left w:w="80" w:type="dxa"/>
              <w:right w:w="80" w:type="dxa"/>
            </w:tcMar>
            <w:shd w:val="clear" w:color="auto" w:fill="FAFCFA"/>
          </w:tcPr>
          <w:p>
            <w:r>
              <w:rPr>
                <w:sz w:val="17"/>
              </w:rPr>
              <w:t>Quy tắc nghiệp vụ cần thiết trong dài hạn, tuy nhiên trong 8 tuần đầu hệ thống mới vận hành chưa có điểm nào chạm mốc 12 tháng. Có thể làm ở Sprint sau.</w:t>
            </w:r>
          </w:p>
        </w:tc>
      </w:tr>
      <w:tr>
        <w:tc>
          <w:tcPr>
            <w:tcW w:type="dxa" w:w="1958"/>
            <w:tcMar>
              <w:top w:w="80" w:type="dxa"/>
              <w:bottom w:w="80" w:type="dxa"/>
              <w:left w:w="80" w:type="dxa"/>
              <w:right w:w="80" w:type="dxa"/>
            </w:tcMar>
          </w:tcPr>
          <w:p>
            <w:pPr>
              <w:jc w:val="center"/>
            </w:pPr>
            <w:r>
              <w:rPr>
                <w:sz w:val="17"/>
              </w:rPr>
              <w:t>PB-06</w:t>
            </w:r>
          </w:p>
        </w:tc>
        <w:tc>
          <w:tcPr>
            <w:tcW w:type="dxa" w:w="1958"/>
            <w:tcMar>
              <w:top w:w="80" w:type="dxa"/>
              <w:bottom w:w="80" w:type="dxa"/>
              <w:left w:w="80" w:type="dxa"/>
              <w:right w:w="80" w:type="dxa"/>
            </w:tcMar>
          </w:tcPr>
          <w:p>
            <w:r>
              <w:rPr>
                <w:sz w:val="17"/>
              </w:rPr>
              <w:t>Gửi thông báo (Notification/SMS) nhắc điểm sắp hết hạn</w:t>
            </w:r>
          </w:p>
        </w:tc>
        <w:tc>
          <w:tcPr>
            <w:tcW w:type="dxa" w:w="1958"/>
            <w:tcMar>
              <w:top w:w="80" w:type="dxa"/>
              <w:bottom w:w="80" w:type="dxa"/>
              <w:left w:w="80" w:type="dxa"/>
              <w:right w:w="80" w:type="dxa"/>
            </w:tcMar>
          </w:tcPr>
          <w:p>
            <w:r>
              <w:rPr>
                <w:sz w:val="17"/>
              </w:rPr>
              <w:t>Gửi thông báo tự động trước 30 ngày cho khách hàng có điểm sắp hết hạn để thúc đẩy mua sắm.</w:t>
            </w:r>
          </w:p>
        </w:tc>
        <w:tc>
          <w:tcPr>
            <w:tcW w:type="dxa" w:w="1958"/>
            <w:tcMar>
              <w:top w:w="80" w:type="dxa"/>
              <w:bottom w:w="80" w:type="dxa"/>
              <w:left w:w="80" w:type="dxa"/>
              <w:right w:w="80" w:type="dxa"/>
            </w:tcMar>
          </w:tcPr>
          <w:p>
            <w:pPr>
              <w:jc w:val="center"/>
            </w:pPr>
            <w:r>
              <w:rPr>
                <w:b/>
                <w:color w:val="2E7D32"/>
                <w:sz w:val="17"/>
              </w:rPr>
              <w:t>COULD HAVE</w:t>
            </w:r>
          </w:p>
        </w:tc>
        <w:tc>
          <w:tcPr>
            <w:tcW w:type="dxa" w:w="1958"/>
            <w:tcMar>
              <w:top w:w="80" w:type="dxa"/>
              <w:bottom w:w="80" w:type="dxa"/>
              <w:left w:w="80" w:type="dxa"/>
              <w:right w:w="80" w:type="dxa"/>
            </w:tcMar>
          </w:tcPr>
          <w:p>
            <w:r>
              <w:rPr>
                <w:sz w:val="17"/>
              </w:rPr>
              <w:t>Tính năng hỗ trợ Marketing kích cầu, mang tính giá trị gia tăng, không ảnh hưởng đến luồng giao dịch cốt lõi.</w:t>
            </w:r>
          </w:p>
        </w:tc>
      </w:tr>
      <w:tr>
        <w:tc>
          <w:tcPr>
            <w:tcW w:type="dxa" w:w="1958"/>
            <w:tcMar>
              <w:top w:w="80" w:type="dxa"/>
              <w:bottom w:w="80" w:type="dxa"/>
              <w:left w:w="80" w:type="dxa"/>
              <w:right w:w="80" w:type="dxa"/>
            </w:tcMar>
            <w:shd w:val="clear" w:color="auto" w:fill="FAFCFA"/>
          </w:tcPr>
          <w:p>
            <w:pPr>
              <w:jc w:val="center"/>
            </w:pPr>
            <w:r>
              <w:rPr>
                <w:sz w:val="17"/>
              </w:rPr>
              <w:t>PB-07</w:t>
            </w:r>
          </w:p>
        </w:tc>
        <w:tc>
          <w:tcPr>
            <w:tcW w:type="dxa" w:w="1958"/>
            <w:tcMar>
              <w:top w:w="80" w:type="dxa"/>
              <w:bottom w:w="80" w:type="dxa"/>
              <w:left w:w="80" w:type="dxa"/>
              <w:right w:w="80" w:type="dxa"/>
            </w:tcMar>
            <w:shd w:val="clear" w:color="auto" w:fill="FAFCFA"/>
          </w:tcPr>
          <w:p>
            <w:r>
              <w:rPr>
                <w:sz w:val="17"/>
              </w:rPr>
              <w:t>Tùy chọn quà tặng đặc quyền và nâng hạng thẻ VIP</w:t>
            </w:r>
          </w:p>
        </w:tc>
        <w:tc>
          <w:tcPr>
            <w:tcW w:type="dxa" w:w="1958"/>
            <w:tcMar>
              <w:top w:w="80" w:type="dxa"/>
              <w:bottom w:w="80" w:type="dxa"/>
              <w:left w:w="80" w:type="dxa"/>
              <w:right w:w="80" w:type="dxa"/>
            </w:tcMar>
            <w:shd w:val="clear" w:color="auto" w:fill="FAFCFA"/>
          </w:tcPr>
          <w:p>
            <w:r>
              <w:rPr>
                <w:sz w:val="17"/>
              </w:rPr>
              <w:t>Đổi điểm lấy quà hiện vật độc quyền hoặc phân hạng thẻ Vàng/Kim Cương kèm đặc quyền riêng.</w:t>
            </w:r>
          </w:p>
        </w:tc>
        <w:tc>
          <w:tcPr>
            <w:tcW w:type="dxa" w:w="1958"/>
            <w:tcMar>
              <w:top w:w="80" w:type="dxa"/>
              <w:bottom w:w="80" w:type="dxa"/>
              <w:left w:w="80" w:type="dxa"/>
              <w:right w:w="80" w:type="dxa"/>
            </w:tcMar>
            <w:shd w:val="clear" w:color="auto" w:fill="FAFCFA"/>
          </w:tcPr>
          <w:p>
            <w:pPr>
              <w:jc w:val="center"/>
            </w:pPr>
            <w:r>
              <w:rPr>
                <w:b/>
                <w:color w:val="646464"/>
                <w:sz w:val="17"/>
              </w:rPr>
              <w:t>WON'T HAVE</w:t>
              <w:br/>
              <w:t>(This time)</w:t>
            </w:r>
          </w:p>
        </w:tc>
        <w:tc>
          <w:tcPr>
            <w:tcW w:type="dxa" w:w="1958"/>
            <w:tcMar>
              <w:top w:w="80" w:type="dxa"/>
              <w:bottom w:w="80" w:type="dxa"/>
              <w:left w:w="80" w:type="dxa"/>
              <w:right w:w="80" w:type="dxa"/>
            </w:tcMar>
            <w:shd w:val="clear" w:color="auto" w:fill="FAFCFA"/>
          </w:tcPr>
          <w:p>
            <w:r>
              <w:rPr>
                <w:sz w:val="17"/>
              </w:rPr>
              <w:t>Phạm vi quá lớn, phức tạp về mặt kho vận và chính sách. Đội ngũ quyết định không làm trong giai đoạn 8 tuần đầu tiên.</w:t>
            </w:r>
          </w:p>
        </w:tc>
      </w:tr>
    </w:tbl>
    <w:p>
      <w:pPr>
        <w:spacing w:after="120"/>
      </w:pPr>
    </w:p>
    <w:p>
      <w:pPr>
        <w:keepNext/>
        <w:spacing w:before="200" w:after="60"/>
      </w:pPr>
      <w:r>
        <w:rPr>
          <w:b/>
          <w:color w:val="2E7D32"/>
          <w:sz w:val="24"/>
        </w:rPr>
        <w:t>3. Chốt danh sách hạng mục đưa vào Sprint 1 (Sprint Backlog)</w:t>
      </w:r>
    </w:p>
    <w:p>
      <w:pPr>
        <w:spacing w:after="200"/>
      </w:pPr>
      <w:r>
        <w:t>Căn cứ ràng buộc ở Mục 3: Nguồn lực đội trong Sprint 1 chỉ đủ làm trọn nhóm Must Have cộng tối đa 2 hạng mục Should Have. Do đó, danh sách được chốt cho Sprint 1 gồm chính xác 4 hạng mục:</w:t>
        <w:br/>
        <w:t>1. PB-01 (Must have): Tích điểm tự động sau khi thanh toán thành công.</w:t>
        <w:br/>
        <w:t>2. PB-02 (Must have): Thu hồi điểm tự động khi đơn hàng bị hủy hoặc hoàn trả.</w:t>
        <w:br/>
        <w:t>3. PB-03 (Should have 1): Đổi điểm tích lũy lấy mã giảm giá khi thanh toán (100 điểm = 20.000đ).</w:t>
        <w:br/>
        <w:t>4. PB-04 (Should have 2): Xem lịch sử biến động điểm và thời hạn sử dụng.</w:t>
        <w:br/>
        <w:t>-&gt; Nhận định chiến lược: Việc chọn 4 hạng mục này giúp Sprint 1 tạo ra một vòng đời hoàn chỉnh khép kín (End-to-End Loop): Tích điểm -&gt; Xem điểm -&gt; Đổi điểm -&gt; Xử lý hoàn hủy, mang lại giá trị thực nghiệm trọn vẹn nhất cho GreenMart.</w:t>
      </w:r>
    </w:p>
    <w:p>
      <w:pPr>
        <w:keepNext/>
        <w:spacing w:before="280" w:after="100"/>
      </w:pPr>
      <w:r>
        <w:rPr>
          <w:b/>
          <w:color w:val="1B5E20"/>
          <w:sz w:val="28"/>
        </w:rPr>
        <w:t>PHẦN C: ACCEPTANCE CRITERIA &amp; DEFINITION OF DONE</w:t>
      </w:r>
    </w:p>
    <w:p>
      <w:pPr>
        <w:keepNext/>
        <w:spacing w:before="200" w:after="60"/>
      </w:pPr>
      <w:r>
        <w:rPr>
          <w:b/>
          <w:color w:val="2E7D32"/>
          <w:sz w:val="24"/>
        </w:rPr>
        <w:t>1. Lựa chọn hạng mục ưu tiên cao nhất</w:t>
      </w:r>
    </w:p>
    <w:p>
      <w:r>
        <w:t>Hạng mục được lựa chọn: PB-01: Tích điểm tự động sau khi thanh toán thành công (Must have - Trọng tâm số 1).</w:t>
      </w:r>
    </w:p>
    <w:p>
      <w:pPr>
        <w:keepNext/>
        <w:spacing w:before="200" w:after="60"/>
      </w:pPr>
      <w:r>
        <w:rPr>
          <w:b/>
          <w:color w:val="2E7D32"/>
          <w:sz w:val="24"/>
        </w:rPr>
        <w:t>2. Bộ Acceptance Criteria (Given - When - Then) cho PB-01</w:t>
      </w:r>
    </w:p>
    <w:p>
      <w:r>
        <w:t>Dưới đây là 3 kịch bản kiểm thử nghiệm thu chi tiết, bao gồm luồng chuẩn, luồng làm tròn số dư và kịch bản bẫy dữ liệu hủy/hoàn:</w:t>
      </w:r>
    </w:p>
    <w:tbl>
      <w:tblPr>
        <w:tblW w:type="auto" w:w="0"/>
        <w:jc w:val="center"/>
        <w:tblLook w:firstColumn="1" w:firstRow="1" w:lastColumn="0" w:lastRow="0" w:noHBand="0" w:noVBand="1" w:val="04A0"/>
      </w:tblPr>
      <w:tblGrid>
        <w:gridCol w:w="9792"/>
      </w:tblGrid>
      <w:tr>
        <w:tc>
          <w:tcPr>
            <w:tcW w:type="dxa" w:w="9648"/>
            <w:shd w:val="clear" w:color="auto" w:fill="F1F8E9"/>
            <w:tcMar>
              <w:top w:w="80" w:type="dxa"/>
              <w:bottom w:w="80" w:type="dxa"/>
              <w:left w:w="100" w:type="dxa"/>
              <w:right w:w="100" w:type="dxa"/>
            </w:tcMar>
          </w:tcPr>
          <w:p>
            <w:pPr>
              <w:spacing w:after="40"/>
            </w:pPr>
            <w:r>
              <w:rPr>
                <w:b/>
                <w:color w:val="2E7D32"/>
                <w:sz w:val="19"/>
              </w:rPr>
              <w:t>• Kịch bản 1: Tích điểm thành công cho đơn hàng hợp lệ (Happy Path)</w:t>
              <w:br/>
            </w:r>
            <w:r>
              <w:rPr>
                <w:sz w:val="18"/>
              </w:rPr>
              <w:t>Given: Khách hàng Nguyễn Văn A có tài khoản thành viên GreenMart và số dư hiện tại là 50 điểm.</w:t>
              <w:br/>
              <w:t>When: Khách hàng hoàn tất thanh toán thành công đơn hàng tại siêu thị với số tiền thực trả là 256.000đ (đơn hàng ở trạng thái 'Thành công/Completed').</w:t>
              <w:br/>
              <w:t>Then: Hệ thống tự động tính điểm theo tỷ lệ 10.000đ = 1 điểm (256.000 / 10.000 = 25 điểm, phần dư 6.000đ không tính), cộng 25 điểm vào tài khoản của Nguyễn Văn A (số dư mới: 75 điểm), đồng thời ghi nhận vào nhật ký giao dịch: '+25 điểm, lý do: Thanh toán đơn hàng #DH256, hạn sử dụng: 12 tháng kể từ ngày tích'.</w:t>
            </w:r>
          </w:p>
        </w:tc>
      </w:tr>
      <w:tr>
        <w:tc>
          <w:tcPr>
            <w:tcW w:type="dxa" w:w="9648"/>
            <w:shd w:val="clear" w:color="auto" w:fill="F1F8E9"/>
            <w:tcMar>
              <w:top w:w="80" w:type="dxa"/>
              <w:bottom w:w="80" w:type="dxa"/>
              <w:left w:w="100" w:type="dxa"/>
              <w:right w:w="100" w:type="dxa"/>
            </w:tcMar>
          </w:tcPr>
          <w:p>
            <w:pPr>
              <w:spacing w:after="40"/>
            </w:pPr>
            <w:r>
              <w:rPr>
                <w:b/>
                <w:color w:val="2E7D32"/>
                <w:sz w:val="19"/>
              </w:rPr>
              <w:t>• Kịch bản 2: Đơn hàng áp dụng mã ưu đãi khác (Xử lý quy tắc 'Không cộng dồn ưu đãi')</w:t>
              <w:br/>
            </w:r>
            <w:r>
              <w:rPr>
                <w:sz w:val="18"/>
              </w:rPr>
              <w:t>Given: Khách hàng B thanh toán đơn hàng có giá trị gốc 300.000đ nhưng áp dụng mã giảm giá khuyến mãi đặc biệt 100.000đ (chính sách mã này không cho phép cộng dồn tích điểm).</w:t>
              <w:br/>
              <w:t>When: Giao dịch thanh toán thành công với số tiền khách thực trả là 200.000đ và hệ thống ghi nhận cờ 'No-Loyalty-Accumulation' từ chương trình khuyến mãi.</w:t>
              <w:br/>
              <w:t>Then: Hệ thống ghi nhận 0 điểm tích lũy cho đơn hàng này, gửi thông báo kèm chú thích: 'Đơn hàng không đủ điều kiện tích điểm do áp dụng ưu đãi không cộng dồn' và số dư điểm của khách B không đổi.</w:t>
            </w:r>
          </w:p>
        </w:tc>
      </w:tr>
      <w:tr>
        <w:tc>
          <w:tcPr>
            <w:tcW w:type="dxa" w:w="9648"/>
            <w:shd w:val="clear" w:color="auto" w:fill="F1F8E9"/>
            <w:tcMar>
              <w:top w:w="80" w:type="dxa"/>
              <w:bottom w:w="80" w:type="dxa"/>
              <w:left w:w="100" w:type="dxa"/>
              <w:right w:w="100" w:type="dxa"/>
            </w:tcMar>
          </w:tcPr>
          <w:p>
            <w:pPr>
              <w:spacing w:after="40"/>
            </w:pPr>
            <w:r>
              <w:rPr>
                <w:b/>
                <w:color w:val="2E7D32"/>
                <w:sz w:val="19"/>
              </w:rPr>
              <w:t>• Kịch bản 3 (Bẫy dữ liệu &amp; Ngoại lệ): Đơn hàng bị hủy hoặc hoàn trả sau khi đã tích điểm (Edge Case)</w:t>
              <w:br/>
            </w:r>
            <w:r>
              <w:rPr>
                <w:sz w:val="18"/>
              </w:rPr>
              <w:t>Given: Khách hàng C mua đơn hàng 500.000đ, đã được tích lũy thành công 50 điểm vào hệ thống (số dư tài khoản là 50 điểm).</w:t>
              <w:br/>
              <w:t>When: Trong vòng 24 giờ, khách hàng yêu cầu trả hàng toàn bộ và nhân viên thu ngân thực hiện lệnh 'Hoàn tiền / Hủy đơn' thành công trên hệ thống POS.</w:t>
              <w:br/>
              <w:t>Then: Hệ thống Loyalty ngay lập tức nhận tín hiệu Refund Event, tự động kích hoạt giao dịch đảo ngược (Reverse Transaction): khấu trừ chính xác 50 điểm đã tích từ đơn hàng này (số dư về 0 điểm), ghi rõ trong lịch sử: '-50 điểm, lý do: Thu hồi điểm do hoàn trả đơn hàng #DH500'; trường hợp khách đã lỡ tiêu hết số điểm này, hệ thống sẽ ghi nhận số dư điểm âm (-50) hoặc treo nợ điểm và cảnh báo kế toán đối soát.</w:t>
            </w:r>
          </w:p>
        </w:tc>
      </w:tr>
    </w:tbl>
    <w:p>
      <w:pPr>
        <w:spacing w:after="120"/>
      </w:pPr>
    </w:p>
    <w:p>
      <w:pPr>
        <w:keepNext/>
        <w:spacing w:before="200" w:after="60"/>
      </w:pPr>
      <w:r>
        <w:rPr>
          <w:b/>
          <w:color w:val="2E7D32"/>
          <w:sz w:val="24"/>
        </w:rPr>
        <w:t>3. Definition of Done (DoD) áp dụng chung cho Sprint 1</w:t>
      </w:r>
    </w:p>
    <w:p>
      <w:pPr>
        <w:spacing w:after="200"/>
      </w:pPr>
      <w:r>
        <w:t>Definition of Done là cam kết chất lượng kỹ thuật bắt buộc của cả đội trước khi một Story được coi là hoàn thành, tuyệt đối không trùng lặp với nội dung của từng AC nghiệp vụ riêng lẻ:</w:t>
        <w:br/>
        <w:t>1. Chất lượng mã nguồn &amp; Kiểm thử đơn vị (Code Quality &amp; Unit Test): 100% mã nguồn mới được Review bởi ít nhất 1 Senior Developer (Peer Review); độ bao phủ kiểm thử tự động (Unit Test Coverage) đạt tối thiểu 85% cho toàn bộ các module tính toán dòng tiền, điểm thưởng và hoàn hủy.</w:t>
        <w:br/>
        <w:t>2. Kiểm thử tích hợp &amp; Đối soát kế toán (Integration &amp; Reconciliation Testing): Đã kiểm thử tích hợp thông suốt giữa POS bán hàng tại siêu thị và hệ thống Loyalty core; dữ liệu biến động điểm khớp 100% với báo cáo đối soát thử nghiệm của phòng Kế toán, không có độ trễ số liệu vượt quá 3 giây.</w:t>
        <w:br/>
        <w:t>3. Sẵn sàng triển khai &amp; Tài liệu hóa (Deployment &amp; Documentation): Tính năng đã được tự động đóng gói (CI/CD) và deploy thành công lên môi trường Staging/UAT ổn định; không còn lỗi tồn đọng ở mức Critical hoặc High; tài liệu API và hướng dẫn vận hành cho nhân viên thu ngân/kế toán được cập nhật hoàn chỉnh.</w:t>
      </w:r>
    </w:p>
    <w:p>
      <w:pPr>
        <w:keepNext/>
        <w:spacing w:before="280" w:after="100"/>
      </w:pPr>
      <w:r>
        <w:rPr>
          <w:b/>
          <w:color w:val="1B5E20"/>
          <w:sz w:val="28"/>
        </w:rPr>
        <w:t>PHẦN D: XỬ LÝ TÌNH HUỐNG THAY ĐỔI</w:t>
      </w:r>
    </w:p>
    <w:p>
      <w:r>
        <w:t>Tình huống thực tế: Giữa Sprint 1, Marketing yêu cầu đổi tỷ lệ quy đổi điểm ngay lập tức (từ 100 điểm = 20.000đ sang 100 điểm = 25.000đ) để kịp thời chạy chiến dịch kích cầu mới.</w:t>
      </w:r>
    </w:p>
    <w:p>
      <w:pPr>
        <w:keepNext/>
        <w:spacing w:before="200" w:after="60"/>
      </w:pPr>
      <w:r>
        <w:rPr>
          <w:b/>
          <w:color w:val="2E7D32"/>
          <w:sz w:val="24"/>
        </w:rPr>
        <w:t>1. Quy trình Scrum tiếp nhận yêu cầu thay đổi không phá vỡ Sprint 1</w:t>
      </w:r>
    </w:p>
    <w:p>
      <w:r>
        <w:t>Để bảo vệ sự tập trung của Development Team và kỷ luật Sprint, quy trình xử lý được thực hiện nghiêm ngặt theo 4 bước:</w:t>
        <w:br/>
        <w:t>• Bước 1 - Thiết lập 'Lá chắn' bảo vệ Sprint Backlog: Scrum Master (Hoa) và Product Owner trực tiếp làm việc với đại diện Marketing. Giải thích rõ nguyên tắc bất biến của Scrum: Mục tiêu Sprint 1 (Sprint Goal) và các cam kết kỹ thuật đang chạy không bị thay đổi tùy tiện giữa chừng nhằm tránh rủi ro sinh lỗi logic cho hệ thống tiền tệ/điểm.</w:t>
        <w:br/>
        <w:t>• Bước 2 - Đánh giá kiến trúc kỹ thuật (Technical Impact Check): Đội ngũ kỹ thuật áp dụng nguyên lý thiết kế mềm dẻo (Best Practice): Giá trị quy đổi '100 điểm = 20.000đ' không được 'hard-code' cứng vào mã nguồn mà được cấu hình dưới dạng biến số (Configuration Parameter) trong cơ sở dữ liệu. Nhờ vậy, sự thay đổi này về bản chất không làm đảo lộn kiến trúc code mà chỉ là cập nhật tham số vận hành.</w:t>
        <w:br/>
        <w:t>• Bước 3 - Đưa vào Product Backlog &amp; Thảo luận tại Sprint Backlog Refinement: Yêu cầu áp dụng tỷ lệ mới (100 điểm = 25.000đ) được PO tiếp nhận chính thức, tạo thành một mục điều chỉnh cấu hình trong Product Backlog và sẽ được ưu tiên đưa vào Sprint 2 hoặc kích hoạt ngay khi tính năng đổi điểm đạt Definition of Done.</w:t>
        <w:br/>
        <w:t>• Bước 4 - Phương án xử lý linh hoạt (Nếu chỉ là cập nhật tham số): Nếu tính năng đổi điểm (PB-03) trong Sprint 1 được thiết kế linh hoạt bằng bảng cấu hình tham số tỷ lệ (Conversion Rate Config Table), PO và Dev Team có thể thống nhất cho phép đổi giá trị cấu hình mặc định sang 25.000đ ngay trong buổi kiểm thử UAT cuối Sprint 1 mà không cần sửa code logic, đảm bảo phục vụ kịp thời chiến dịch Marketing.</w:t>
      </w:r>
    </w:p>
    <w:p>
      <w:pPr>
        <w:keepNext/>
        <w:spacing w:before="200" w:after="60"/>
      </w:pPr>
      <w:r>
        <w:rPr>
          <w:b/>
          <w:color w:val="2E7D32"/>
          <w:sz w:val="24"/>
        </w:rPr>
        <w:t>2. Phân tích tác động và các nội dung cần cập nhật</w:t>
      </w:r>
    </w:p>
    <w:tbl>
      <w:tblPr>
        <w:tblW w:type="auto" w:w="0"/>
        <w:jc w:val="center"/>
        <w:tblLook w:firstColumn="1" w:firstRow="1" w:lastColumn="0" w:lastRow="0" w:noHBand="0" w:noVBand="1" w:val="04A0"/>
      </w:tblPr>
      <w:tblGrid>
        <w:gridCol w:w="3264"/>
        <w:gridCol w:w="3264"/>
        <w:gridCol w:w="3264"/>
      </w:tblGrid>
      <w:tr>
        <w:tc>
          <w:tcPr>
            <w:tcW w:type="dxa" w:w="3264"/>
            <w:shd w:val="clear" w:color="auto" w:fill="E8F5E9"/>
            <w:tcMar>
              <w:top w:w="90" w:type="dxa"/>
              <w:bottom w:w="90" w:type="dxa"/>
              <w:left w:w="80" w:type="dxa"/>
              <w:right w:w="80" w:type="dxa"/>
            </w:tcMar>
          </w:tcPr>
          <w:p>
            <w:pPr>
              <w:jc w:val="center"/>
            </w:pPr>
            <w:r>
              <w:rPr>
                <w:b/>
                <w:sz w:val="19"/>
              </w:rPr>
              <w:t>Thành phần tài liệu</w:t>
            </w:r>
          </w:p>
        </w:tc>
        <w:tc>
          <w:tcPr>
            <w:tcW w:type="dxa" w:w="3264"/>
            <w:shd w:val="clear" w:color="auto" w:fill="E8F5E9"/>
            <w:tcMar>
              <w:top w:w="90" w:type="dxa"/>
              <w:bottom w:w="90" w:type="dxa"/>
              <w:left w:w="80" w:type="dxa"/>
              <w:right w:w="80" w:type="dxa"/>
            </w:tcMar>
          </w:tcPr>
          <w:p>
            <w:pPr>
              <w:jc w:val="center"/>
            </w:pPr>
            <w:r>
              <w:rPr>
                <w:b/>
                <w:sz w:val="19"/>
              </w:rPr>
              <w:t>Mức độ tác động</w:t>
            </w:r>
          </w:p>
        </w:tc>
        <w:tc>
          <w:tcPr>
            <w:tcW w:type="dxa" w:w="3264"/>
            <w:shd w:val="clear" w:color="auto" w:fill="E8F5E9"/>
            <w:tcMar>
              <w:top w:w="90" w:type="dxa"/>
              <w:bottom w:w="90" w:type="dxa"/>
              <w:left w:w="80" w:type="dxa"/>
              <w:right w:w="80" w:type="dxa"/>
            </w:tcMar>
          </w:tcPr>
          <w:p>
            <w:pPr>
              <w:jc w:val="center"/>
            </w:pPr>
            <w:r>
              <w:rPr>
                <w:b/>
                <w:sz w:val="19"/>
              </w:rPr>
              <w:t>Nội dung cụ thể cần cập nhật &amp; Điều chỉnh</w:t>
            </w:r>
          </w:p>
        </w:tc>
      </w:tr>
      <w:tr>
        <w:tc>
          <w:tcPr>
            <w:tcW w:type="dxa" w:w="3264"/>
            <w:tcMar>
              <w:top w:w="80" w:type="dxa"/>
              <w:bottom w:w="80" w:type="dxa"/>
              <w:left w:w="80" w:type="dxa"/>
              <w:right w:w="80" w:type="dxa"/>
            </w:tcMar>
            <w:shd w:val="clear" w:color="auto" w:fill="FAFCFA"/>
          </w:tcPr>
          <w:p>
            <w:pPr>
              <w:jc w:val="center"/>
            </w:pPr>
            <w:r>
              <w:rPr>
                <w:sz w:val="17"/>
              </w:rPr>
              <w:t>Product Backlog (Phần B)</w:t>
            </w:r>
          </w:p>
        </w:tc>
        <w:tc>
          <w:tcPr>
            <w:tcW w:type="dxa" w:w="3264"/>
            <w:tcMar>
              <w:top w:w="80" w:type="dxa"/>
              <w:bottom w:w="80" w:type="dxa"/>
              <w:left w:w="80" w:type="dxa"/>
              <w:right w:w="80" w:type="dxa"/>
            </w:tcMar>
            <w:shd w:val="clear" w:color="auto" w:fill="FAFCFA"/>
          </w:tcPr>
          <w:p>
            <w:pPr>
              <w:jc w:val="center"/>
            </w:pPr>
            <w:r>
              <w:rPr>
                <w:b/>
                <w:color w:val="E65100"/>
                <w:sz w:val="17"/>
              </w:rPr>
              <w:t>Tác động vừa (Cập nhật tham số nghiệp vụ)</w:t>
            </w:r>
          </w:p>
        </w:tc>
        <w:tc>
          <w:tcPr>
            <w:tcW w:type="dxa" w:w="3264"/>
            <w:tcMar>
              <w:top w:w="80" w:type="dxa"/>
              <w:bottom w:w="80" w:type="dxa"/>
              <w:left w:w="80" w:type="dxa"/>
              <w:right w:w="80" w:type="dxa"/>
            </w:tcMar>
            <w:shd w:val="clear" w:color="auto" w:fill="FAFCFA"/>
          </w:tcPr>
          <w:p>
            <w:r>
              <w:rPr>
                <w:sz w:val="17"/>
              </w:rPr>
              <w:t>• Cập nhật mô tả nghiệp vụ của hạng mục PB-03: Đổi từ '100 điểm = 20.000đ' thành '100 điểm = 25.000đ'.</w:t>
              <w:br/>
              <w:t>• Bổ sung 1 User Story kỹ thuật/cấu hình: 'Xây dựng trang quản trị tham số tỷ lệ quy đổi điểm dành cho Admin/Marketing' để phục vụ các lần đổi tỷ lệ sau này mà không cần can thiệp code.</w:t>
            </w:r>
          </w:p>
        </w:tc>
      </w:tr>
      <w:tr>
        <w:tc>
          <w:tcPr>
            <w:tcW w:type="dxa" w:w="3264"/>
            <w:tcMar>
              <w:top w:w="80" w:type="dxa"/>
              <w:bottom w:w="80" w:type="dxa"/>
              <w:left w:w="80" w:type="dxa"/>
              <w:right w:w="80" w:type="dxa"/>
            </w:tcMar>
          </w:tcPr>
          <w:p>
            <w:pPr>
              <w:jc w:val="center"/>
            </w:pPr>
            <w:r>
              <w:rPr>
                <w:sz w:val="17"/>
              </w:rPr>
              <w:t>Acceptance Criteria (Phần C)</w:t>
            </w:r>
          </w:p>
        </w:tc>
        <w:tc>
          <w:tcPr>
            <w:tcW w:type="dxa" w:w="3264"/>
            <w:tcMar>
              <w:top w:w="80" w:type="dxa"/>
              <w:bottom w:w="80" w:type="dxa"/>
              <w:left w:w="80" w:type="dxa"/>
              <w:right w:w="80" w:type="dxa"/>
            </w:tcMar>
          </w:tcPr>
          <w:p>
            <w:pPr>
              <w:jc w:val="center"/>
            </w:pPr>
            <w:r>
              <w:rPr>
                <w:b/>
                <w:color w:val="E65100"/>
                <w:sz w:val="17"/>
              </w:rPr>
              <w:t>Tác động trực tiếp lên kịch bản đổi điểm</w:t>
            </w:r>
          </w:p>
        </w:tc>
        <w:tc>
          <w:tcPr>
            <w:tcW w:type="dxa" w:w="3264"/>
            <w:tcMar>
              <w:top w:w="80" w:type="dxa"/>
              <w:bottom w:w="80" w:type="dxa"/>
              <w:left w:w="80" w:type="dxa"/>
              <w:right w:w="80" w:type="dxa"/>
            </w:tcMar>
          </w:tcPr>
          <w:p>
            <w:r>
              <w:rPr>
                <w:sz w:val="17"/>
              </w:rPr>
              <w:t>• Không ảnh hưởng đến PB-01 (Tích điểm), vì PB-01 chỉ quản lý chiều nạp điểm theo hóa đơn.</w:t>
              <w:br/>
              <w:t>• Cập nhật trực tiếp bộ AC của hạng mục PB-03 (Đổi điểm): Sửa đổi kịch bản kiểm thử: Khi khách đổi 100 điểm -&gt; Giá trị voucher giảm trừ là 25.000đ (thay vì 20.000đ); đổi 200 điểm -&gt; giảm 50.000đ. Cập nhật dữ liệu test tương ứng.</w:t>
            </w:r>
          </w:p>
        </w:tc>
      </w:tr>
      <w:tr>
        <w:tc>
          <w:tcPr>
            <w:tcW w:type="dxa" w:w="3264"/>
            <w:tcMar>
              <w:top w:w="80" w:type="dxa"/>
              <w:bottom w:w="80" w:type="dxa"/>
              <w:left w:w="80" w:type="dxa"/>
              <w:right w:w="80" w:type="dxa"/>
            </w:tcMar>
            <w:shd w:val="clear" w:color="auto" w:fill="FAFCFA"/>
          </w:tcPr>
          <w:p>
            <w:pPr>
              <w:jc w:val="center"/>
            </w:pPr>
            <w:r>
              <w:rPr>
                <w:sz w:val="17"/>
              </w:rPr>
              <w:t>Definition of Done (Phần C)</w:t>
            </w:r>
          </w:p>
        </w:tc>
        <w:tc>
          <w:tcPr>
            <w:tcW w:type="dxa" w:w="3264"/>
            <w:tcMar>
              <w:top w:w="80" w:type="dxa"/>
              <w:bottom w:w="80" w:type="dxa"/>
              <w:left w:w="80" w:type="dxa"/>
              <w:right w:w="80" w:type="dxa"/>
            </w:tcMar>
            <w:shd w:val="clear" w:color="auto" w:fill="FAFCFA"/>
          </w:tcPr>
          <w:p>
            <w:pPr>
              <w:jc w:val="center"/>
            </w:pPr>
            <w:r>
              <w:rPr>
                <w:b/>
                <w:color w:val="2E7D32"/>
                <w:sz w:val="17"/>
              </w:rPr>
              <w:t>KHÔNG BỊ TÁC ĐỘNG</w:t>
              <w:br/>
              <w:t>(Giữ nguyên 100%)</w:t>
            </w:r>
          </w:p>
        </w:tc>
        <w:tc>
          <w:tcPr>
            <w:tcW w:type="dxa" w:w="3264"/>
            <w:tcMar>
              <w:top w:w="80" w:type="dxa"/>
              <w:bottom w:w="80" w:type="dxa"/>
              <w:left w:w="80" w:type="dxa"/>
              <w:right w:w="80" w:type="dxa"/>
            </w:tcMar>
            <w:shd w:val="clear" w:color="auto" w:fill="FAFCFA"/>
          </w:tcPr>
          <w:p>
            <w:r>
              <w:rPr>
                <w:sz w:val="17"/>
              </w:rPr>
              <w:t>• Definition of Done là tiêu chuẩn chất lượng kỹ thuật nền tảng (Unit test coverage ≥ 85%, Peer review, không lỗi Critical/High, đối soát kế toán khớp 100%).</w:t>
              <w:br/>
              <w:t>• Thay đổi tỷ lệ nghiệp vụ kinh doanh không làm thay đổi hay hạ thấp chuẩn mực chất lượng kỹ thuật của Sprint 1.</w:t>
            </w:r>
          </w:p>
        </w:tc>
      </w:tr>
    </w:tbl>
    <w:p>
      <w:pPr>
        <w:spacing w:after="24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